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E6B" w:rsidRPr="006A4F19" w:rsidRDefault="00476E6B" w:rsidP="006A4F19">
      <w:pPr>
        <w:pStyle w:val="NormalWeb"/>
        <w:shd w:val="clear" w:color="auto" w:fill="FFFFFF"/>
        <w:spacing w:line="276" w:lineRule="auto"/>
        <w:jc w:val="both"/>
        <w:rPr>
          <w:b/>
          <w:u w:val="single"/>
        </w:rPr>
      </w:pPr>
    </w:p>
    <w:p w:rsidR="00476E6B" w:rsidRPr="006A4F19" w:rsidRDefault="00476E6B" w:rsidP="006A4F19">
      <w:pPr>
        <w:pStyle w:val="NormalWeb"/>
        <w:shd w:val="clear" w:color="auto" w:fill="FFFFFF"/>
        <w:spacing w:line="276" w:lineRule="auto"/>
        <w:jc w:val="both"/>
        <w:rPr>
          <w:b/>
          <w:u w:val="single"/>
        </w:rPr>
      </w:pPr>
      <w:r w:rsidRPr="006A4F19">
        <w:rPr>
          <w:b/>
          <w:u w:val="single"/>
        </w:rPr>
        <w:t>DICTAMEN DE EVALUACIÓN DE OFERTAS</w:t>
      </w:r>
    </w:p>
    <w:p w:rsidR="00AE5619" w:rsidRPr="008966B6" w:rsidRDefault="00F676C9" w:rsidP="006A4F19">
      <w:pPr>
        <w:pStyle w:val="NormalWeb"/>
        <w:shd w:val="clear" w:color="auto" w:fill="FFFFFF"/>
        <w:spacing w:line="276" w:lineRule="auto"/>
        <w:jc w:val="both"/>
      </w:pPr>
      <w:r w:rsidRPr="006A4F19">
        <w:t>Buenos Aires,</w:t>
      </w:r>
      <w:r w:rsidR="00423C2C">
        <w:t xml:space="preserve"> 23</w:t>
      </w:r>
      <w:r w:rsidR="003C4F53" w:rsidRPr="006A4F19">
        <w:t xml:space="preserve"> </w:t>
      </w:r>
      <w:r w:rsidR="00047783" w:rsidRPr="006A4F19">
        <w:t>de</w:t>
      </w:r>
      <w:r w:rsidR="003C4F53" w:rsidRPr="006A4F19">
        <w:t xml:space="preserve"> </w:t>
      </w:r>
      <w:r w:rsidR="00BA4F2A">
        <w:t xml:space="preserve">diciembre </w:t>
      </w:r>
      <w:r w:rsidR="00983AA4" w:rsidRPr="006A4F19">
        <w:t xml:space="preserve">de </w:t>
      </w:r>
      <w:r w:rsidR="00476E6B" w:rsidRPr="006A4F19">
        <w:t>2014</w:t>
      </w:r>
      <w:r w:rsidR="00047783" w:rsidRPr="006A4F19">
        <w:t xml:space="preserve">  </w:t>
      </w:r>
    </w:p>
    <w:p w:rsidR="00047783" w:rsidRPr="006A4F19" w:rsidRDefault="00047783" w:rsidP="006A4F19">
      <w:pPr>
        <w:pStyle w:val="NormalWeb"/>
        <w:shd w:val="clear" w:color="auto" w:fill="FFFFFF"/>
        <w:spacing w:line="276" w:lineRule="auto"/>
        <w:jc w:val="both"/>
        <w:rPr>
          <w:b/>
          <w:bCs/>
          <w:u w:val="single"/>
        </w:rPr>
      </w:pPr>
      <w:r w:rsidRPr="006A4F19">
        <w:rPr>
          <w:b/>
          <w:bCs/>
          <w:u w:val="single"/>
        </w:rPr>
        <w:t>Ref</w:t>
      </w:r>
      <w:r w:rsidR="009F3C7E" w:rsidRPr="006A4F19">
        <w:rPr>
          <w:b/>
          <w:bCs/>
          <w:u w:val="single"/>
        </w:rPr>
        <w:t>.</w:t>
      </w:r>
      <w:r w:rsidRPr="006A4F19">
        <w:rPr>
          <w:b/>
          <w:bCs/>
          <w:u w:val="single"/>
        </w:rPr>
        <w:t xml:space="preserve">: </w:t>
      </w:r>
      <w:r w:rsidRPr="006A4F19">
        <w:rPr>
          <w:b/>
          <w:u w:val="single"/>
        </w:rPr>
        <w:t>Expediente C.M.</w:t>
      </w:r>
      <w:r w:rsidR="009F3C7E" w:rsidRPr="006A4F19">
        <w:rPr>
          <w:b/>
          <w:u w:val="single"/>
        </w:rPr>
        <w:t xml:space="preserve"> </w:t>
      </w:r>
      <w:r w:rsidR="00983AA4" w:rsidRPr="006A4F19">
        <w:rPr>
          <w:b/>
          <w:u w:val="single"/>
        </w:rPr>
        <w:t>Nº DCC-</w:t>
      </w:r>
      <w:r w:rsidR="00BA4F2A">
        <w:rPr>
          <w:b/>
          <w:u w:val="single"/>
        </w:rPr>
        <w:t>209/14-0</w:t>
      </w:r>
      <w:r w:rsidR="00983AA4" w:rsidRPr="006A4F19">
        <w:rPr>
          <w:b/>
          <w:u w:val="single"/>
        </w:rPr>
        <w:t xml:space="preserve"> </w:t>
      </w:r>
      <w:r w:rsidRPr="006A4F19">
        <w:rPr>
          <w:b/>
          <w:u w:val="single"/>
        </w:rPr>
        <w:t>- Licitación Pública Nº</w:t>
      </w:r>
      <w:r w:rsidR="003C4F53" w:rsidRPr="006A4F19">
        <w:rPr>
          <w:b/>
          <w:u w:val="single"/>
        </w:rPr>
        <w:t xml:space="preserve"> 2</w:t>
      </w:r>
      <w:r w:rsidR="00BA4F2A">
        <w:rPr>
          <w:b/>
          <w:u w:val="single"/>
        </w:rPr>
        <w:t>5</w:t>
      </w:r>
      <w:r w:rsidRPr="006A4F19">
        <w:rPr>
          <w:b/>
          <w:u w:val="single"/>
        </w:rPr>
        <w:t>/2014 s/</w:t>
      </w:r>
      <w:r w:rsidR="003C4F53" w:rsidRPr="006A4F19">
        <w:rPr>
          <w:b/>
          <w:u w:val="single"/>
        </w:rPr>
        <w:t xml:space="preserve"> </w:t>
      </w:r>
      <w:r w:rsidR="00BA4F2A">
        <w:rPr>
          <w:b/>
          <w:u w:val="single"/>
        </w:rPr>
        <w:t>Mantenimiento de Redes de Incendio y Sistemas de Detección Temprana de Incendio</w:t>
      </w:r>
      <w:r w:rsidR="003C4F53" w:rsidRPr="006A4F19">
        <w:rPr>
          <w:b/>
          <w:u w:val="single"/>
        </w:rPr>
        <w:t>.</w:t>
      </w:r>
    </w:p>
    <w:p w:rsidR="00047783" w:rsidRPr="006A4F19" w:rsidRDefault="00047783" w:rsidP="006A4F19">
      <w:pPr>
        <w:pStyle w:val="NormalWeb"/>
        <w:shd w:val="clear" w:color="auto" w:fill="FFFFFF"/>
        <w:spacing w:line="276" w:lineRule="auto"/>
        <w:jc w:val="both"/>
      </w:pPr>
      <w:r w:rsidRPr="006A4F19">
        <w:t>Lle</w:t>
      </w:r>
      <w:r w:rsidR="00FD5821" w:rsidRPr="006A4F19">
        <w:t xml:space="preserve">ga </w:t>
      </w:r>
      <w:r w:rsidR="0030591E" w:rsidRPr="006A4F19">
        <w:t xml:space="preserve">el presente expediente </w:t>
      </w:r>
      <w:r w:rsidRPr="006A4F19">
        <w:t>a c</w:t>
      </w:r>
      <w:r w:rsidR="002508B1" w:rsidRPr="006A4F19">
        <w:t xml:space="preserve">onocimiento de esta </w:t>
      </w:r>
      <w:r w:rsidR="003C4F53" w:rsidRPr="006A4F19">
        <w:t xml:space="preserve">Unidad de </w:t>
      </w:r>
      <w:r w:rsidR="002508B1" w:rsidRPr="006A4F19">
        <w:t>Ev</w:t>
      </w:r>
      <w:r w:rsidR="0093292D" w:rsidRPr="006A4F19">
        <w:t>aluación de Ofertas</w:t>
      </w:r>
      <w:r w:rsidRPr="006A4F19">
        <w:t xml:space="preserve"> a fin de dictaminar en el marco de la Licitación de referencia, con un presupuesto </w:t>
      </w:r>
      <w:r w:rsidR="00FD5821" w:rsidRPr="006A4F19">
        <w:t xml:space="preserve">oficial estimado </w:t>
      </w:r>
      <w:r w:rsidRPr="006A4F19">
        <w:t>e</w:t>
      </w:r>
      <w:r w:rsidR="00FD5821" w:rsidRPr="006A4F19">
        <w:t>n</w:t>
      </w:r>
      <w:r w:rsidRPr="006A4F19">
        <w:t xml:space="preserve"> </w:t>
      </w:r>
      <w:r w:rsidR="00BA4F2A">
        <w:t>P</w:t>
      </w:r>
      <w:r w:rsidRPr="006A4F19">
        <w:t>esos</w:t>
      </w:r>
      <w:r w:rsidR="00983AA4" w:rsidRPr="006A4F19">
        <w:t xml:space="preserve"> </w:t>
      </w:r>
      <w:r w:rsidR="00BA4F2A">
        <w:t>Dos Millones Ciento Noventa y Cuatro Mil Doscientos Ochenta y Cinco con Sesenta y Ocho Mil</w:t>
      </w:r>
      <w:r w:rsidR="003C4F53" w:rsidRPr="006A4F19">
        <w:t xml:space="preserve"> </w:t>
      </w:r>
      <w:r w:rsidRPr="006A4F19">
        <w:t xml:space="preserve">($ </w:t>
      </w:r>
      <w:r w:rsidR="00BA4F2A">
        <w:t>2.194.285,68</w:t>
      </w:r>
      <w:r w:rsidRPr="006A4F19">
        <w:t>.-)</w:t>
      </w:r>
      <w:r w:rsidR="00983AA4" w:rsidRPr="006A4F19">
        <w:t>, IVA incluido</w:t>
      </w:r>
      <w:r w:rsidRPr="006A4F19">
        <w:t>.</w:t>
      </w:r>
    </w:p>
    <w:p w:rsidR="005F004F" w:rsidRDefault="000502C9" w:rsidP="006A4F19">
      <w:pPr>
        <w:pStyle w:val="NormalWeb"/>
        <w:shd w:val="clear" w:color="auto" w:fill="FFFFFF"/>
        <w:spacing w:line="276" w:lineRule="auto"/>
        <w:jc w:val="both"/>
      </w:pPr>
      <w:r w:rsidRPr="006A4F19">
        <w:t xml:space="preserve">A fs. </w:t>
      </w:r>
      <w:r w:rsidR="003C4F53" w:rsidRPr="006A4F19">
        <w:t>3</w:t>
      </w:r>
      <w:r w:rsidR="00F47E77" w:rsidRPr="006A4F19">
        <w:t xml:space="preserve"> obra Nota</w:t>
      </w:r>
      <w:r w:rsidR="00BA4F2A">
        <w:t xml:space="preserve"> N° 311/2014 del Jefe del Departamento de Coordinación</w:t>
      </w:r>
      <w:r w:rsidR="00F47E77" w:rsidRPr="006A4F19">
        <w:t xml:space="preserve"> </w:t>
      </w:r>
      <w:r w:rsidR="00BA4F2A">
        <w:t xml:space="preserve">de Contrataciones </w:t>
      </w:r>
      <w:r w:rsidR="003C4F53" w:rsidRPr="006A4F19">
        <w:t xml:space="preserve">del Consejo de la Magistratura de la C.A.B.A. </w:t>
      </w:r>
      <w:r w:rsidR="00BA4F2A">
        <w:t xml:space="preserve">informando al Administrador General del Poder Judicial de la C.A.B.A. el vencimiento con fecha 31/12/14 del contrato suscripto con la firma </w:t>
      </w:r>
      <w:proofErr w:type="spellStart"/>
      <w:r w:rsidR="00BA4F2A">
        <w:t>Dakari</w:t>
      </w:r>
      <w:proofErr w:type="spellEnd"/>
      <w:r w:rsidR="00BA4F2A">
        <w:t xml:space="preserve"> </w:t>
      </w:r>
      <w:proofErr w:type="spellStart"/>
      <w:r w:rsidR="00BA4F2A">
        <w:t>Group</w:t>
      </w:r>
      <w:proofErr w:type="spellEnd"/>
      <w:r w:rsidR="00BA4F2A">
        <w:t xml:space="preserve"> S.R.L. que presta el mantenimiento de los sistemas de redes y detección temprana de incendio existente en los edificios sitos en Tacuarí 138, Roque </w:t>
      </w:r>
      <w:proofErr w:type="spellStart"/>
      <w:r w:rsidR="00BA4F2A">
        <w:t>Saenz</w:t>
      </w:r>
      <w:proofErr w:type="spellEnd"/>
      <w:r w:rsidR="00BA4F2A">
        <w:t xml:space="preserve"> Peña 636, </w:t>
      </w:r>
      <w:proofErr w:type="spellStart"/>
      <w:r w:rsidR="00BA4F2A">
        <w:t>Beruti</w:t>
      </w:r>
      <w:proofErr w:type="spellEnd"/>
      <w:r w:rsidR="00BA4F2A">
        <w:t xml:space="preserve"> 3345, Libertad 1042, Hipólito </w:t>
      </w:r>
      <w:proofErr w:type="spellStart"/>
      <w:r w:rsidR="00BA4F2A">
        <w:t>Yrigoyen</w:t>
      </w:r>
      <w:proofErr w:type="spellEnd"/>
      <w:r w:rsidR="00BA4F2A">
        <w:t xml:space="preserve"> 932, </w:t>
      </w:r>
      <w:proofErr w:type="spellStart"/>
      <w:r w:rsidR="00BA4F2A">
        <w:t>Beazley</w:t>
      </w:r>
      <w:proofErr w:type="spellEnd"/>
      <w:r w:rsidR="00BA4F2A">
        <w:t xml:space="preserve"> 3860 y Av. </w:t>
      </w:r>
      <w:r w:rsidR="005F004F">
        <w:t>Julio A. Roca 516, motivo por el cual el Administrador General a fs. 4 remite las actuaciones a la Dirección de Seguridad a fin de qu</w:t>
      </w:r>
      <w:r w:rsidR="00297396">
        <w:t>e elabore el proyecto de Pliego e indique si es necesario ampliar el servicio a otros inmuebles que no hayan sido contemplados en la Licitación Pública N° 18/2013.</w:t>
      </w:r>
    </w:p>
    <w:p w:rsidR="00297396" w:rsidRDefault="00297396" w:rsidP="006A4F19">
      <w:pPr>
        <w:pStyle w:val="NormalWeb"/>
        <w:shd w:val="clear" w:color="auto" w:fill="FFFFFF"/>
        <w:spacing w:line="276" w:lineRule="auto"/>
        <w:jc w:val="both"/>
      </w:pPr>
      <w:r>
        <w:t>A fs. 5 la Dirección de Seguridad del Consejo de la Magistratura mediante Nota N° 0113/2014 informa que puede mantenerse el pliego oportunamente elaborado para la Licitación Pública N° 18/2013, además de considerar que no debe agregarse otro edificio al presente contratación.</w:t>
      </w:r>
    </w:p>
    <w:p w:rsidR="00297396" w:rsidRDefault="00297396" w:rsidP="006A4F19">
      <w:pPr>
        <w:pStyle w:val="NormalWeb"/>
        <w:shd w:val="clear" w:color="auto" w:fill="FFFFFF"/>
        <w:spacing w:line="276" w:lineRule="auto"/>
        <w:jc w:val="both"/>
      </w:pPr>
      <w:r>
        <w:t>A fs. 13 obra Informe del Jefe de Departamento Técnico de Obras Menores haciendo contar con exactitud los distintos sistemas que operan en los edificios y la precisión y periodicidad de los trabajos a realizar.</w:t>
      </w:r>
    </w:p>
    <w:p w:rsidR="00297396" w:rsidRDefault="00297396" w:rsidP="006A4F19">
      <w:pPr>
        <w:pStyle w:val="NormalWeb"/>
        <w:shd w:val="clear" w:color="auto" w:fill="FFFFFF"/>
        <w:spacing w:line="276" w:lineRule="auto"/>
        <w:jc w:val="both"/>
      </w:pPr>
      <w:r>
        <w:t>A fs. 20 obra el Cuadro Presupuesto de la presente licitación estimándose en la suma de Pesos Dos Millones Ciento Noventa y Cuatro Mil Doscientos Ochenta y Cinco con Sesenta y Ocho Centavos ($ 2.194.285,68) IVA incluido, además del criterio de afectación establecido a fs. 21.</w:t>
      </w:r>
    </w:p>
    <w:p w:rsidR="00297396" w:rsidRDefault="00297396" w:rsidP="006A4F19">
      <w:pPr>
        <w:pStyle w:val="NormalWeb"/>
        <w:shd w:val="clear" w:color="auto" w:fill="FFFFFF"/>
        <w:spacing w:line="276" w:lineRule="auto"/>
        <w:jc w:val="both"/>
      </w:pPr>
      <w:r>
        <w:lastRenderedPageBreak/>
        <w:t>A fs. 22 el Jefe de Departamento de Coordinación de Contrataciones del Consejo de la Magistratura de la C.A.B.A. mediante mail de fs. 22 pone en conocimiento al Ministerio Público de la C.A.B.A. los montos afectar por cada uno de los distintos sectores del Ministerio P</w:t>
      </w:r>
      <w:r w:rsidR="009A75C3">
        <w:t>úblico.</w:t>
      </w:r>
    </w:p>
    <w:p w:rsidR="009A75C3" w:rsidRDefault="009A75C3" w:rsidP="006A4F19">
      <w:pPr>
        <w:pStyle w:val="NormalWeb"/>
        <w:shd w:val="clear" w:color="auto" w:fill="FFFFFF"/>
        <w:spacing w:line="276" w:lineRule="auto"/>
        <w:jc w:val="both"/>
      </w:pPr>
      <w:r>
        <w:t>A fs. 24 el Director de Compras y Contrataciones del Consejo de la Magistratura de la C.A.B.A. hace un análisis de la presente actuación, entendiendo viable el Llamado a la Licitación Pública de etapa única, conforme lo dispuesto en los Arts. 25, 27, 31, 32 y cc de la Ley N° 2095 y su modificatoria Ley 4764 y la Resolución CM N° 1/2014, aplicando la modalidad de la Compra Unificada con el Ministerio Público de la C.A.B.A.</w:t>
      </w:r>
    </w:p>
    <w:p w:rsidR="009A75C3" w:rsidRDefault="009A75C3" w:rsidP="006A4F19">
      <w:pPr>
        <w:pStyle w:val="NormalWeb"/>
        <w:shd w:val="clear" w:color="auto" w:fill="FFFFFF"/>
        <w:spacing w:line="276" w:lineRule="auto"/>
        <w:jc w:val="both"/>
      </w:pPr>
      <w:r>
        <w:t>A fs. 48 se advierte error en la afectación realizada, rectificándose el mismo por lo que se adjunta el nuevo criterio de afectación obrante a fs. 49, el cual es notificado por correo electrónico de fs. 50 al Ministerio Publico de la C.A.B.A.</w:t>
      </w:r>
    </w:p>
    <w:p w:rsidR="009A75C3" w:rsidRDefault="009A75C3" w:rsidP="006A4F19">
      <w:pPr>
        <w:pStyle w:val="NormalWeb"/>
        <w:shd w:val="clear" w:color="auto" w:fill="FFFFFF"/>
        <w:spacing w:line="276" w:lineRule="auto"/>
        <w:jc w:val="both"/>
      </w:pPr>
      <w:r>
        <w:t>A fs. 56</w:t>
      </w:r>
      <w:r w:rsidR="00AD723A">
        <w:t>/58</w:t>
      </w:r>
      <w:r>
        <w:t xml:space="preserve"> la Dirección General de Asuntos Jurídicos emite Dictamen N° 5997/2014, concluyendo que no existe obstáculo, desde el punto de vista jurídico, para que se continúe con la tramitación del presente expediente.</w:t>
      </w:r>
    </w:p>
    <w:p w:rsidR="00CF3049" w:rsidRDefault="009A75C3" w:rsidP="006A4F19">
      <w:pPr>
        <w:pStyle w:val="NormalWeb"/>
        <w:shd w:val="clear" w:color="auto" w:fill="FFFFFF"/>
        <w:spacing w:line="276" w:lineRule="auto"/>
        <w:jc w:val="both"/>
      </w:pPr>
      <w:r>
        <w:t xml:space="preserve">A fs. 64/74 obra la Resolución </w:t>
      </w:r>
      <w:proofErr w:type="spellStart"/>
      <w:r>
        <w:t>OAyF</w:t>
      </w:r>
      <w:proofErr w:type="spellEnd"/>
      <w:r>
        <w:t xml:space="preserve"> N° 348/2014 que autoriza el llamado a la Licitación Pública N° 25/2014 de etapa única, bajo la modalidad de compra unificada con el Ministerio Público que tiene por objeto la inspección , puesta a punto, certificación y mantenimiento de los sistemas de redes de incendio y sistemas de detección temprana de incendio existentes en los edificios del Poder Judicial de la Ciudad Autónoma de Buenos Aires sitos en Tacuarí 138, Roque </w:t>
      </w:r>
      <w:proofErr w:type="spellStart"/>
      <w:r>
        <w:t>Saenz</w:t>
      </w:r>
      <w:proofErr w:type="spellEnd"/>
      <w:r>
        <w:t xml:space="preserve"> Peña 636, </w:t>
      </w:r>
      <w:proofErr w:type="spellStart"/>
      <w:r>
        <w:t>Beruti</w:t>
      </w:r>
      <w:proofErr w:type="spellEnd"/>
      <w:r>
        <w:t xml:space="preserve"> 3345, Libertad 1042, Hipólito </w:t>
      </w:r>
      <w:proofErr w:type="spellStart"/>
      <w:r>
        <w:t>Yrigoyen</w:t>
      </w:r>
      <w:proofErr w:type="spellEnd"/>
      <w:r>
        <w:t xml:space="preserve"> 932, </w:t>
      </w:r>
      <w:proofErr w:type="spellStart"/>
      <w:r>
        <w:t>Beazley</w:t>
      </w:r>
      <w:proofErr w:type="spellEnd"/>
      <w:r>
        <w:t xml:space="preserve"> 3860, Av. Julio A. Roca 516 y </w:t>
      </w:r>
      <w:proofErr w:type="spellStart"/>
      <w:r>
        <w:t>Bolivar</w:t>
      </w:r>
      <w:proofErr w:type="spellEnd"/>
      <w:r>
        <w:t xml:space="preserve"> 177; en su art. 2 se aprueba el Pliego de Bases y Condiciones Particulares de fs. </w:t>
      </w:r>
      <w:r w:rsidR="00CF3049">
        <w:t xml:space="preserve">67/69, Anexo I y el Pliego de Especificaciones Técnicas, Anexo II, </w:t>
      </w:r>
      <w:proofErr w:type="spellStart"/>
      <w:r w:rsidR="00CF3049">
        <w:t>fs</w:t>
      </w:r>
      <w:proofErr w:type="spellEnd"/>
      <w:r w:rsidR="00CF3049">
        <w:t xml:space="preserve"> 70/73; en su artículo 3 se aprueba el modelo de publicación, Anexo III, de fs. 74; en su art. 6 se establece el 18 de diciembre de 2014 a las 12 </w:t>
      </w:r>
      <w:proofErr w:type="spellStart"/>
      <w:r w:rsidR="00CF3049">
        <w:t>hs</w:t>
      </w:r>
      <w:proofErr w:type="spellEnd"/>
      <w:r w:rsidR="00CF3049">
        <w:t xml:space="preserve"> como fecha límite para la presentación de ofertas y para la apertura pública de ofertas.</w:t>
      </w:r>
    </w:p>
    <w:p w:rsidR="009A75C3" w:rsidRDefault="00CF3049" w:rsidP="006A4F19">
      <w:pPr>
        <w:pStyle w:val="NormalWeb"/>
        <w:shd w:val="clear" w:color="auto" w:fill="FFFFFF"/>
        <w:spacing w:line="276" w:lineRule="auto"/>
        <w:jc w:val="both"/>
      </w:pPr>
      <w:r>
        <w:t xml:space="preserve">A fs. 76 de designa como miembro permanente en el acto de apertura al Dr. Federico Gallo, de la Unidad de Evaluación de Ofertas, como así también los demás miembros titulares y suplentes. </w:t>
      </w:r>
    </w:p>
    <w:p w:rsidR="008B3439" w:rsidRDefault="008B3439" w:rsidP="006A4F19">
      <w:pPr>
        <w:pStyle w:val="NormalWeb"/>
        <w:shd w:val="clear" w:color="auto" w:fill="FFFFFF"/>
        <w:spacing w:line="276" w:lineRule="auto"/>
        <w:jc w:val="both"/>
      </w:pPr>
      <w:r>
        <w:t xml:space="preserve">A fs. 83 obra la constancia de publicación en la página web del Poder Judicial de la Ciudad de la Resolución </w:t>
      </w:r>
      <w:proofErr w:type="spellStart"/>
      <w:r>
        <w:t>OAyF</w:t>
      </w:r>
      <w:proofErr w:type="spellEnd"/>
      <w:r>
        <w:t xml:space="preserve"> N° 348/2014.</w:t>
      </w:r>
    </w:p>
    <w:p w:rsidR="00C33C5F" w:rsidRPr="006A4F19" w:rsidRDefault="008B3439" w:rsidP="008B3439">
      <w:pPr>
        <w:pStyle w:val="NormalWeb"/>
        <w:shd w:val="clear" w:color="auto" w:fill="FFFFFF"/>
        <w:spacing w:line="276" w:lineRule="auto"/>
        <w:jc w:val="both"/>
      </w:pPr>
      <w:r>
        <w:lastRenderedPageBreak/>
        <w:t xml:space="preserve">A fs. 85/104 </w:t>
      </w:r>
      <w:r w:rsidR="00C33C5F" w:rsidRPr="006A4F19">
        <w:t>obran las invitaciones a participar en la presente Licitación.</w:t>
      </w:r>
    </w:p>
    <w:p w:rsidR="006B2CDE" w:rsidRPr="006A4F19" w:rsidRDefault="006B2CDE" w:rsidP="006A4F19">
      <w:pPr>
        <w:pStyle w:val="NormalWeb"/>
        <w:shd w:val="clear" w:color="auto" w:fill="FFFFFF"/>
        <w:spacing w:line="276" w:lineRule="auto"/>
        <w:jc w:val="both"/>
      </w:pPr>
      <w:r w:rsidRPr="006A4F19">
        <w:t xml:space="preserve">A fs. </w:t>
      </w:r>
      <w:r w:rsidR="008B3439">
        <w:t>105/106</w:t>
      </w:r>
      <w:r w:rsidRPr="006A4F19">
        <w:t xml:space="preserve"> obran las publicaciones en el Boletín Oficial de la C.A.B.A.</w:t>
      </w:r>
    </w:p>
    <w:p w:rsidR="006B2CDE" w:rsidRPr="006A4F19" w:rsidRDefault="006B2CDE" w:rsidP="006A4F19">
      <w:pPr>
        <w:pStyle w:val="NormalWeb"/>
        <w:shd w:val="clear" w:color="auto" w:fill="FFFFFF"/>
        <w:spacing w:line="276" w:lineRule="auto"/>
        <w:jc w:val="both"/>
      </w:pPr>
      <w:r w:rsidRPr="006A4F19">
        <w:t xml:space="preserve">A fs. </w:t>
      </w:r>
      <w:r w:rsidR="008B3439">
        <w:t xml:space="preserve">107/110 </w:t>
      </w:r>
      <w:r w:rsidRPr="006A4F19">
        <w:t>obra la Constancia de Entrega de Pliegos y los respectivos depósitos.</w:t>
      </w:r>
      <w:r w:rsidR="00751590" w:rsidRPr="006A4F19">
        <w:t xml:space="preserve"> </w:t>
      </w:r>
    </w:p>
    <w:p w:rsidR="006B2CDE" w:rsidRPr="006A4F19" w:rsidRDefault="006B2CDE" w:rsidP="006A4F19">
      <w:pPr>
        <w:spacing w:line="276" w:lineRule="auto"/>
        <w:jc w:val="both"/>
      </w:pPr>
      <w:r w:rsidRPr="006A4F19">
        <w:t>A</w:t>
      </w:r>
      <w:r w:rsidR="00036535" w:rsidRPr="006A4F19">
        <w:t xml:space="preserve"> fs. </w:t>
      </w:r>
      <w:r w:rsidR="008B3439">
        <w:t>113/114</w:t>
      </w:r>
      <w:r w:rsidR="00036535" w:rsidRPr="006A4F19">
        <w:t xml:space="preserve"> se encuentra el Acta de Apertura N° </w:t>
      </w:r>
      <w:r w:rsidR="008B3439">
        <w:t>24</w:t>
      </w:r>
      <w:r w:rsidRPr="006A4F19">
        <w:t>/</w:t>
      </w:r>
      <w:r w:rsidR="00036535" w:rsidRPr="006A4F19">
        <w:t xml:space="preserve">2014 de la presente Licitación, </w:t>
      </w:r>
      <w:r w:rsidR="008B3439">
        <w:t xml:space="preserve">con el cuadro comparativo, </w:t>
      </w:r>
      <w:r w:rsidR="00036535" w:rsidRPr="006A4F19">
        <w:t xml:space="preserve">siendo presentes los Dres. Federico Carballo y </w:t>
      </w:r>
      <w:r w:rsidR="00A56E26" w:rsidRPr="006A4F19">
        <w:t>Federico Gallo</w:t>
      </w:r>
      <w:r w:rsidR="00036535" w:rsidRPr="006A4F19">
        <w:t xml:space="preserve">, miembros de la Unidad de Evaluación de Ofertas, además de presenciar el acto </w:t>
      </w:r>
      <w:r w:rsidR="008B3439">
        <w:t xml:space="preserve">Javier </w:t>
      </w:r>
      <w:proofErr w:type="spellStart"/>
      <w:r w:rsidR="008B3439">
        <w:t>Dasilva</w:t>
      </w:r>
      <w:proofErr w:type="spellEnd"/>
      <w:r w:rsidR="008B3439">
        <w:t xml:space="preserve"> por la Empresa </w:t>
      </w:r>
      <w:proofErr w:type="spellStart"/>
      <w:r w:rsidR="008B3439">
        <w:t>Marin</w:t>
      </w:r>
      <w:proofErr w:type="spellEnd"/>
      <w:r w:rsidR="008B3439">
        <w:t xml:space="preserve"> </w:t>
      </w:r>
      <w:proofErr w:type="spellStart"/>
      <w:r w:rsidR="008B3439">
        <w:t>Service</w:t>
      </w:r>
      <w:proofErr w:type="spellEnd"/>
      <w:r w:rsidR="008B3439">
        <w:t xml:space="preserve"> S.A</w:t>
      </w:r>
      <w:r w:rsidR="00751590" w:rsidRPr="006A4F19">
        <w:t>.</w:t>
      </w:r>
    </w:p>
    <w:p w:rsidR="00751590" w:rsidRPr="006A4F19" w:rsidRDefault="00751590" w:rsidP="006A4F19">
      <w:pPr>
        <w:spacing w:line="276" w:lineRule="auto"/>
        <w:jc w:val="both"/>
      </w:pPr>
    </w:p>
    <w:p w:rsidR="00036535" w:rsidRPr="006A4F19" w:rsidRDefault="00CC6F93" w:rsidP="006A4F19">
      <w:pPr>
        <w:spacing w:line="276" w:lineRule="auto"/>
        <w:jc w:val="both"/>
      </w:pPr>
      <w:r w:rsidRPr="006A4F19">
        <w:t xml:space="preserve">A fs. </w:t>
      </w:r>
      <w:r w:rsidR="001C4610">
        <w:t>225/</w:t>
      </w:r>
      <w:r w:rsidR="008B3439">
        <w:t>22</w:t>
      </w:r>
      <w:r w:rsidR="001C4610">
        <w:t>7</w:t>
      </w:r>
      <w:r w:rsidRPr="006A4F19">
        <w:t xml:space="preserve"> se encuentra nota enviada</w:t>
      </w:r>
      <w:r w:rsidR="00486AC7">
        <w:t xml:space="preserve"> vía mail al oferente DAKARI GROUP SRL</w:t>
      </w:r>
      <w:r w:rsidRPr="006A4F19">
        <w:t xml:space="preserve"> solicitando información requerida y los</w:t>
      </w:r>
      <w:r w:rsidR="00EC3DDE" w:rsidRPr="006A4F19">
        <w:t xml:space="preserve"> mails que con</w:t>
      </w:r>
      <w:r w:rsidR="00486AC7">
        <w:t xml:space="preserve">firman su lectura, obrando a </w:t>
      </w:r>
      <w:r w:rsidR="00486AC7" w:rsidRPr="00EB1D46">
        <w:t>fs</w:t>
      </w:r>
      <w:r w:rsidR="00EB1D46">
        <w:t>. 228/232</w:t>
      </w:r>
      <w:r w:rsidR="00486AC7">
        <w:t xml:space="preserve"> la contestación</w:t>
      </w:r>
      <w:r w:rsidR="00EC3DDE" w:rsidRPr="006A4F19">
        <w:t xml:space="preserve"> de</w:t>
      </w:r>
      <w:r w:rsidR="00486AC7">
        <w:t>l</w:t>
      </w:r>
      <w:r w:rsidR="00EC3DDE" w:rsidRPr="006A4F19">
        <w:t xml:space="preserve"> oferente con la información y documentación solicitada. </w:t>
      </w:r>
    </w:p>
    <w:p w:rsidR="00B61ED6" w:rsidRPr="006A4F19" w:rsidRDefault="00B61ED6" w:rsidP="006A4F19">
      <w:pPr>
        <w:spacing w:line="276" w:lineRule="auto"/>
        <w:jc w:val="both"/>
      </w:pPr>
    </w:p>
    <w:p w:rsidR="00CC6F93" w:rsidRDefault="00423C2C" w:rsidP="006A4F19">
      <w:pPr>
        <w:spacing w:line="276" w:lineRule="auto"/>
        <w:jc w:val="both"/>
      </w:pPr>
      <w:r>
        <w:t xml:space="preserve">A fs. 234 </w:t>
      </w:r>
      <w:r w:rsidR="00B61ED6" w:rsidRPr="006A4F19">
        <w:t xml:space="preserve">se remite el expediente a la </w:t>
      </w:r>
      <w:r w:rsidR="00BF3371">
        <w:t>Dirección de Seguridad del Consejo de la Magistratura de la C.A.B.A.</w:t>
      </w:r>
      <w:r w:rsidR="00B61ED6" w:rsidRPr="006A4F19">
        <w:t xml:space="preserve"> a fin de que se realice el Informe Técnico respectivo</w:t>
      </w:r>
      <w:r w:rsidR="00BF3371">
        <w:t>.</w:t>
      </w:r>
    </w:p>
    <w:p w:rsidR="00BF3371" w:rsidRPr="006A4F19" w:rsidRDefault="00BF3371" w:rsidP="006A4F19">
      <w:pPr>
        <w:spacing w:line="276" w:lineRule="auto"/>
        <w:jc w:val="both"/>
        <w:rPr>
          <w:lang w:val="es-ES_tradnl"/>
        </w:rPr>
      </w:pPr>
    </w:p>
    <w:p w:rsidR="00B61ED6" w:rsidRPr="006A4F19" w:rsidRDefault="00423C2C" w:rsidP="006A4F19">
      <w:pPr>
        <w:spacing w:line="276" w:lineRule="auto"/>
        <w:jc w:val="both"/>
        <w:rPr>
          <w:lang w:val="es-ES_tradnl"/>
        </w:rPr>
      </w:pPr>
      <w:r>
        <w:rPr>
          <w:lang w:val="es-ES_tradnl"/>
        </w:rPr>
        <w:t xml:space="preserve">A fs. 236 </w:t>
      </w:r>
      <w:r w:rsidR="00B61ED6" w:rsidRPr="006A4F19">
        <w:rPr>
          <w:lang w:val="es-ES_tradnl"/>
        </w:rPr>
        <w:t>obra el Informe Técnico elaborado por</w:t>
      </w:r>
      <w:r w:rsidR="00BF3371">
        <w:rPr>
          <w:lang w:val="es-ES_tradnl"/>
        </w:rPr>
        <w:t xml:space="preserve"> la Dirección de Seguridad del Consejo de la Magistratura de la C.A.B.A.</w:t>
      </w:r>
      <w:r>
        <w:rPr>
          <w:lang w:val="es-ES_tradnl"/>
        </w:rPr>
        <w:t xml:space="preserve">, quien concluye que: </w:t>
      </w:r>
      <w:proofErr w:type="spellStart"/>
      <w:r>
        <w:rPr>
          <w:lang w:val="es-ES_tradnl"/>
        </w:rPr>
        <w:t>Dakari</w:t>
      </w:r>
      <w:proofErr w:type="spellEnd"/>
      <w:r>
        <w:rPr>
          <w:lang w:val="es-ES_tradnl"/>
        </w:rPr>
        <w:t xml:space="preserve"> </w:t>
      </w:r>
      <w:proofErr w:type="spellStart"/>
      <w:r>
        <w:rPr>
          <w:lang w:val="es-ES_tradnl"/>
        </w:rPr>
        <w:t>Group</w:t>
      </w:r>
      <w:proofErr w:type="spellEnd"/>
      <w:r>
        <w:rPr>
          <w:lang w:val="es-ES_tradnl"/>
        </w:rPr>
        <w:t xml:space="preserve"> SRL “cumple con lo solicitado en Pliego de Especificaciones Técnicas (inscripción en Registro, plan de trabajo, capacidad técnica)” y que </w:t>
      </w:r>
      <w:proofErr w:type="spellStart"/>
      <w:r>
        <w:rPr>
          <w:lang w:val="es-ES_tradnl"/>
        </w:rPr>
        <w:t>Marin</w:t>
      </w:r>
      <w:proofErr w:type="spellEnd"/>
      <w:r>
        <w:rPr>
          <w:lang w:val="es-ES_tradnl"/>
        </w:rPr>
        <w:t xml:space="preserve"> </w:t>
      </w:r>
      <w:proofErr w:type="spellStart"/>
      <w:r>
        <w:rPr>
          <w:lang w:val="es-ES_tradnl"/>
        </w:rPr>
        <w:t>Service</w:t>
      </w:r>
      <w:proofErr w:type="spellEnd"/>
      <w:r>
        <w:rPr>
          <w:lang w:val="es-ES_tradnl"/>
        </w:rPr>
        <w:t xml:space="preserve"> S.A. “cumple con lo solicitado”</w:t>
      </w:r>
      <w:r w:rsidR="00B61ED6" w:rsidRPr="006A4F19">
        <w:rPr>
          <w:lang w:val="es-ES_tradnl"/>
        </w:rPr>
        <w:t>.</w:t>
      </w:r>
    </w:p>
    <w:p w:rsidR="00036535" w:rsidRPr="006A4F19" w:rsidRDefault="00EE3543" w:rsidP="006A4F19">
      <w:pPr>
        <w:spacing w:line="276" w:lineRule="auto"/>
        <w:jc w:val="both"/>
        <w:outlineLvl w:val="0"/>
        <w:rPr>
          <w:b/>
          <w:u w:val="single"/>
        </w:rPr>
      </w:pPr>
      <w:r w:rsidRPr="006A4F19">
        <w:rPr>
          <w:b/>
          <w:u w:val="single"/>
        </w:rPr>
        <w:t xml:space="preserve"> </w:t>
      </w:r>
    </w:p>
    <w:p w:rsidR="00036535" w:rsidRPr="006A4F19" w:rsidRDefault="00036535" w:rsidP="006A4F19">
      <w:pPr>
        <w:spacing w:line="276" w:lineRule="auto"/>
        <w:jc w:val="both"/>
        <w:outlineLvl w:val="0"/>
      </w:pPr>
      <w:r w:rsidRPr="006A4F19">
        <w:rPr>
          <w:b/>
          <w:u w:val="single"/>
        </w:rPr>
        <w:t>OFERTAS:</w:t>
      </w:r>
    </w:p>
    <w:p w:rsidR="00036535" w:rsidRPr="006A4F19" w:rsidRDefault="00036535" w:rsidP="006A4F19">
      <w:pPr>
        <w:spacing w:line="276" w:lineRule="auto"/>
        <w:jc w:val="both"/>
      </w:pPr>
    </w:p>
    <w:p w:rsidR="00036535" w:rsidRPr="001C4610" w:rsidRDefault="00036535" w:rsidP="006A4F19">
      <w:pPr>
        <w:spacing w:line="276" w:lineRule="auto"/>
        <w:jc w:val="both"/>
        <w:rPr>
          <w:b/>
          <w:u w:val="single"/>
          <w:lang w:val="es-AR"/>
        </w:rPr>
      </w:pPr>
      <w:r w:rsidRPr="006A4F19">
        <w:rPr>
          <w:b/>
          <w:u w:val="single"/>
          <w:lang w:val="es-AR"/>
        </w:rPr>
        <w:t xml:space="preserve">1.  </w:t>
      </w:r>
      <w:r w:rsidR="00DC77BD" w:rsidRPr="001C4610">
        <w:rPr>
          <w:b/>
          <w:u w:val="single"/>
          <w:lang w:val="es-AR"/>
        </w:rPr>
        <w:t>DAKARI GROUP SRL</w:t>
      </w:r>
    </w:p>
    <w:p w:rsidR="00036535" w:rsidRPr="001C4610" w:rsidRDefault="00036535" w:rsidP="006A4F19">
      <w:pPr>
        <w:spacing w:line="276" w:lineRule="auto"/>
        <w:jc w:val="both"/>
        <w:rPr>
          <w:b/>
          <w:lang w:val="es-AR"/>
        </w:rPr>
      </w:pPr>
      <w:r w:rsidRPr="001C4610">
        <w:rPr>
          <w:b/>
          <w:lang w:val="es-AR"/>
        </w:rPr>
        <w:t xml:space="preserve">CUIT Nº  </w:t>
      </w:r>
      <w:r w:rsidR="00DC77BD" w:rsidRPr="001C4610">
        <w:rPr>
          <w:b/>
          <w:lang w:val="es-AR"/>
        </w:rPr>
        <w:t>30-70962168-4</w:t>
      </w:r>
    </w:p>
    <w:p w:rsidR="00036535" w:rsidRPr="006A4F19" w:rsidRDefault="00036535" w:rsidP="006A4F19">
      <w:pPr>
        <w:spacing w:line="276" w:lineRule="auto"/>
        <w:jc w:val="both"/>
        <w:rPr>
          <w:b/>
          <w:lang w:val="es-AR"/>
        </w:rPr>
      </w:pPr>
      <w:r w:rsidRPr="006A4F19">
        <w:rPr>
          <w:b/>
          <w:lang w:val="es-AR"/>
        </w:rPr>
        <w:t xml:space="preserve">DIRECCIÓN: </w:t>
      </w:r>
      <w:r w:rsidR="00DC77BD">
        <w:rPr>
          <w:b/>
          <w:lang w:val="es-AR"/>
        </w:rPr>
        <w:t>Av. Rivadavia 969, Piso 2° “B”</w:t>
      </w:r>
      <w:r w:rsidRPr="006A4F19">
        <w:rPr>
          <w:b/>
          <w:lang w:val="es-AR"/>
        </w:rPr>
        <w:t>, C.A.B.A.</w:t>
      </w:r>
    </w:p>
    <w:p w:rsidR="00036535" w:rsidRPr="006A4F19" w:rsidRDefault="00036535" w:rsidP="006A4F19">
      <w:pPr>
        <w:spacing w:line="276" w:lineRule="auto"/>
        <w:jc w:val="both"/>
        <w:rPr>
          <w:b/>
          <w:lang w:val="es-AR"/>
        </w:rPr>
      </w:pPr>
      <w:r w:rsidRPr="006A4F19">
        <w:rPr>
          <w:b/>
          <w:lang w:val="es-AR"/>
        </w:rPr>
        <w:t xml:space="preserve">TELEFONO: </w:t>
      </w:r>
      <w:r w:rsidR="00DC77BD">
        <w:rPr>
          <w:b/>
          <w:lang w:val="es-AR"/>
        </w:rPr>
        <w:t>4345-4547/4703</w:t>
      </w:r>
      <w:r w:rsidRPr="006A4F19">
        <w:rPr>
          <w:b/>
          <w:lang w:val="es-AR"/>
        </w:rPr>
        <w:t xml:space="preserve">   </w:t>
      </w:r>
    </w:p>
    <w:p w:rsidR="00DC77BD" w:rsidRDefault="000A3998" w:rsidP="006A4F19">
      <w:pPr>
        <w:spacing w:line="276" w:lineRule="auto"/>
        <w:jc w:val="both"/>
      </w:pPr>
      <w:r w:rsidRPr="006A4F19">
        <w:rPr>
          <w:b/>
          <w:lang w:val="es-AR"/>
        </w:rPr>
        <w:t xml:space="preserve">CORREO ELECTRONICO: </w:t>
      </w:r>
      <w:hyperlink r:id="rId9" w:history="1">
        <w:r w:rsidR="00DC77BD" w:rsidRPr="004C1014">
          <w:rPr>
            <w:rStyle w:val="Hipervnculo"/>
          </w:rPr>
          <w:t>administracion@mantenimientocassi.com.ar</w:t>
        </w:r>
      </w:hyperlink>
      <w:r w:rsidR="00AD723A">
        <w:rPr>
          <w:rStyle w:val="Hipervnculo"/>
        </w:rPr>
        <w:t>, coordinacion@mantenimientocassi.com.ar</w:t>
      </w:r>
    </w:p>
    <w:p w:rsidR="00036535" w:rsidRPr="006A4F19" w:rsidRDefault="00036535" w:rsidP="00DC77BD">
      <w:pPr>
        <w:spacing w:line="360" w:lineRule="auto"/>
        <w:jc w:val="both"/>
        <w:rPr>
          <w:b/>
          <w:lang w:val="es-AR"/>
        </w:rPr>
      </w:pPr>
    </w:p>
    <w:p w:rsidR="00DC77BD" w:rsidRDefault="00DC77BD" w:rsidP="0073305B">
      <w:pPr>
        <w:spacing w:after="240" w:line="360" w:lineRule="auto"/>
        <w:jc w:val="both"/>
        <w:rPr>
          <w:bCs/>
          <w:lang w:val="es-AR"/>
        </w:rPr>
      </w:pPr>
      <w:r w:rsidRPr="006A4F19">
        <w:rPr>
          <w:bCs/>
          <w:lang w:val="es-AR"/>
        </w:rPr>
        <w:t xml:space="preserve">A fs. </w:t>
      </w:r>
      <w:r>
        <w:rPr>
          <w:bCs/>
          <w:lang w:val="es-AR"/>
        </w:rPr>
        <w:t>118</w:t>
      </w:r>
      <w:r w:rsidRPr="006A4F19">
        <w:rPr>
          <w:bCs/>
          <w:lang w:val="es-AR"/>
        </w:rPr>
        <w:t xml:space="preserve"> obra la constancia de retiro de pliego de bases y condiciones</w:t>
      </w:r>
      <w:r>
        <w:rPr>
          <w:bCs/>
          <w:lang w:val="es-AR"/>
        </w:rPr>
        <w:t>.</w:t>
      </w:r>
    </w:p>
    <w:p w:rsidR="00F9604A" w:rsidRPr="006A4F19" w:rsidRDefault="00F9604A" w:rsidP="00F9604A">
      <w:pPr>
        <w:pStyle w:val="Textoindependiente3"/>
        <w:spacing w:before="240" w:line="276" w:lineRule="auto"/>
        <w:jc w:val="both"/>
        <w:rPr>
          <w:bCs/>
          <w:sz w:val="24"/>
          <w:szCs w:val="24"/>
          <w:lang w:val="es-AR"/>
        </w:rPr>
      </w:pPr>
      <w:r w:rsidRPr="006A4F19">
        <w:rPr>
          <w:bCs/>
          <w:sz w:val="24"/>
          <w:szCs w:val="24"/>
          <w:lang w:val="es-AR"/>
        </w:rPr>
        <w:t xml:space="preserve">A fs. </w:t>
      </w:r>
      <w:r>
        <w:rPr>
          <w:bCs/>
          <w:sz w:val="24"/>
          <w:szCs w:val="24"/>
          <w:lang w:val="es-AR"/>
        </w:rPr>
        <w:t>136</w:t>
      </w:r>
      <w:r w:rsidR="00AD723A">
        <w:rPr>
          <w:bCs/>
          <w:sz w:val="24"/>
          <w:szCs w:val="24"/>
          <w:lang w:val="es-AR"/>
        </w:rPr>
        <w:t>/137</w:t>
      </w:r>
      <w:r>
        <w:rPr>
          <w:bCs/>
          <w:sz w:val="24"/>
          <w:szCs w:val="24"/>
          <w:lang w:val="es-AR"/>
        </w:rPr>
        <w:t xml:space="preserve"> </w:t>
      </w:r>
      <w:r w:rsidRPr="006A4F19">
        <w:rPr>
          <w:bCs/>
          <w:sz w:val="24"/>
          <w:szCs w:val="24"/>
          <w:lang w:val="es-AR"/>
        </w:rPr>
        <w:t>obra la DDJJ de aptitud para</w:t>
      </w:r>
      <w:r>
        <w:rPr>
          <w:bCs/>
          <w:sz w:val="24"/>
          <w:szCs w:val="24"/>
          <w:lang w:val="es-AR"/>
        </w:rPr>
        <w:t xml:space="preserve"> contratar</w:t>
      </w:r>
      <w:r w:rsidRPr="006A4F19">
        <w:rPr>
          <w:bCs/>
          <w:sz w:val="24"/>
          <w:szCs w:val="24"/>
          <w:lang w:val="es-AR"/>
        </w:rPr>
        <w:t>.</w:t>
      </w:r>
    </w:p>
    <w:p w:rsidR="00F9604A" w:rsidRDefault="00F9604A" w:rsidP="0073305B">
      <w:pPr>
        <w:spacing w:after="240" w:line="360" w:lineRule="auto"/>
        <w:jc w:val="both"/>
        <w:rPr>
          <w:bCs/>
          <w:lang w:val="es-AR"/>
        </w:rPr>
      </w:pPr>
    </w:p>
    <w:p w:rsidR="00726975" w:rsidRDefault="00DC77BD" w:rsidP="0073305B">
      <w:pPr>
        <w:spacing w:after="240" w:line="360" w:lineRule="auto"/>
        <w:jc w:val="both"/>
        <w:rPr>
          <w:bCs/>
          <w:lang w:val="es-AR"/>
        </w:rPr>
      </w:pPr>
      <w:r>
        <w:rPr>
          <w:bCs/>
          <w:lang w:val="es-AR"/>
        </w:rPr>
        <w:lastRenderedPageBreak/>
        <w:t>A fs. 138</w:t>
      </w:r>
      <w:r w:rsidR="00AD723A">
        <w:rPr>
          <w:bCs/>
          <w:lang w:val="es-AR"/>
        </w:rPr>
        <w:t>/139</w:t>
      </w:r>
      <w:r>
        <w:rPr>
          <w:bCs/>
          <w:lang w:val="es-AR"/>
        </w:rPr>
        <w:t xml:space="preserve"> </w:t>
      </w:r>
      <w:r w:rsidR="00DA50D4" w:rsidRPr="006A4F19">
        <w:rPr>
          <w:bCs/>
          <w:lang w:val="es-AR"/>
        </w:rPr>
        <w:t>obra la</w:t>
      </w:r>
      <w:r w:rsidR="00726975" w:rsidRPr="006A4F19">
        <w:rPr>
          <w:bCs/>
          <w:lang w:val="es-AR"/>
        </w:rPr>
        <w:t xml:space="preserve"> copia de la </w:t>
      </w:r>
      <w:r w:rsidR="00DA50D4" w:rsidRPr="006A4F19">
        <w:rPr>
          <w:bCs/>
          <w:lang w:val="es-AR"/>
        </w:rPr>
        <w:t xml:space="preserve">Póliza de Caución N° </w:t>
      </w:r>
      <w:r w:rsidR="0073305B">
        <w:rPr>
          <w:bCs/>
          <w:lang w:val="es-AR"/>
        </w:rPr>
        <w:t>169092</w:t>
      </w:r>
      <w:r w:rsidR="00DA50D4" w:rsidRPr="006A4F19">
        <w:rPr>
          <w:bCs/>
          <w:lang w:val="es-AR"/>
        </w:rPr>
        <w:t xml:space="preserve"> de </w:t>
      </w:r>
      <w:proofErr w:type="spellStart"/>
      <w:r w:rsidR="0073305B">
        <w:rPr>
          <w:bCs/>
          <w:lang w:val="es-AR"/>
        </w:rPr>
        <w:t>Zurich</w:t>
      </w:r>
      <w:proofErr w:type="spellEnd"/>
      <w:r w:rsidR="0073305B">
        <w:rPr>
          <w:bCs/>
          <w:lang w:val="es-AR"/>
        </w:rPr>
        <w:t xml:space="preserve"> Argentina Compañía de Seguros S.A.</w:t>
      </w:r>
      <w:r w:rsidR="00726975" w:rsidRPr="006A4F19">
        <w:rPr>
          <w:bCs/>
          <w:lang w:val="es-AR"/>
        </w:rPr>
        <w:t xml:space="preserve"> por la suma de $</w:t>
      </w:r>
      <w:r w:rsidR="0073305B">
        <w:rPr>
          <w:bCs/>
          <w:lang w:val="es-AR"/>
        </w:rPr>
        <w:t xml:space="preserve"> 109.580</w:t>
      </w:r>
      <w:r w:rsidR="00726975" w:rsidRPr="006A4F19">
        <w:rPr>
          <w:bCs/>
          <w:lang w:val="es-AR"/>
        </w:rPr>
        <w:t>, cuyo original se reservó en Caja Fuerte.</w:t>
      </w:r>
    </w:p>
    <w:p w:rsidR="0073305B" w:rsidRDefault="0073305B" w:rsidP="0073305B">
      <w:pPr>
        <w:spacing w:after="240" w:line="360" w:lineRule="auto"/>
        <w:jc w:val="both"/>
        <w:rPr>
          <w:bCs/>
          <w:lang w:val="es-AR"/>
        </w:rPr>
      </w:pPr>
      <w:r>
        <w:rPr>
          <w:bCs/>
          <w:lang w:val="es-AR"/>
        </w:rPr>
        <w:t>A fs. 140 obra constancia de Registro de Deudores Alimentarios Morosos de los representantes de la empresa y a fs. 221/22 consulta efectuada por esta Unidad.</w:t>
      </w:r>
    </w:p>
    <w:p w:rsidR="00544E8A" w:rsidRDefault="00544E8A" w:rsidP="0073305B">
      <w:pPr>
        <w:spacing w:after="240" w:line="276" w:lineRule="auto"/>
        <w:jc w:val="both"/>
        <w:rPr>
          <w:bCs/>
          <w:lang w:val="es-AR"/>
        </w:rPr>
      </w:pPr>
      <w:r w:rsidRPr="006A4F19">
        <w:t xml:space="preserve">A fs. </w:t>
      </w:r>
      <w:r w:rsidR="0073305B">
        <w:t>141</w:t>
      </w:r>
      <w:r w:rsidRPr="006A4F19">
        <w:t xml:space="preserve"> obra el Certificado de Visita </w:t>
      </w:r>
      <w:r w:rsidR="0099792E" w:rsidRPr="006A4F19">
        <w:t>de acuerdo</w:t>
      </w:r>
      <w:r w:rsidRPr="006A4F19">
        <w:t xml:space="preserve"> a lo establecido en el Pliego de Condiciones Particulares</w:t>
      </w:r>
      <w:r w:rsidRPr="006A4F19">
        <w:rPr>
          <w:bCs/>
          <w:lang w:val="es-AR"/>
        </w:rPr>
        <w:t>.</w:t>
      </w:r>
    </w:p>
    <w:p w:rsidR="0073305B" w:rsidRDefault="0073305B" w:rsidP="0073305B">
      <w:pPr>
        <w:spacing w:after="240" w:line="276" w:lineRule="auto"/>
        <w:jc w:val="both"/>
        <w:rPr>
          <w:bCs/>
          <w:lang w:val="es-AR"/>
        </w:rPr>
      </w:pPr>
      <w:r>
        <w:rPr>
          <w:bCs/>
          <w:lang w:val="es-AR"/>
        </w:rPr>
        <w:t>A fs. 147/148 obra la oferta por una suma total de PESOS DOS MILLONES CIENTO NOVENTA Y UN MIL SEISCIENTOS ($ 2.191.600,00)</w:t>
      </w:r>
      <w:r w:rsidR="009C6B77">
        <w:rPr>
          <w:bCs/>
          <w:lang w:val="es-AR"/>
        </w:rPr>
        <w:t xml:space="preserve"> IVA incluido</w:t>
      </w:r>
      <w:r>
        <w:rPr>
          <w:bCs/>
          <w:lang w:val="es-AR"/>
        </w:rPr>
        <w:t xml:space="preserve">. Se hace saber que esta Unidad al efectuar el análisis de los precios advierte que la sumatoria total de los </w:t>
      </w:r>
      <w:proofErr w:type="spellStart"/>
      <w:r>
        <w:rPr>
          <w:bCs/>
          <w:lang w:val="es-AR"/>
        </w:rPr>
        <w:t>subrenglones</w:t>
      </w:r>
      <w:proofErr w:type="spellEnd"/>
      <w:r>
        <w:rPr>
          <w:bCs/>
          <w:lang w:val="es-AR"/>
        </w:rPr>
        <w:t xml:space="preserve"> difiere del monto total ofertado, siendo el correct</w:t>
      </w:r>
      <w:r w:rsidR="00AD723A">
        <w:rPr>
          <w:bCs/>
          <w:lang w:val="es-AR"/>
        </w:rPr>
        <w:t>o el de PESOS DOS MILLONES CIENT</w:t>
      </w:r>
      <w:r>
        <w:rPr>
          <w:bCs/>
          <w:lang w:val="es-AR"/>
        </w:rPr>
        <w:t xml:space="preserve">O NOVENTA Y UN MIL QUINIENTOS NOVENTA Y NUEVE CON TREINTA Y SEIS CENTAVOS ($ 2.191.599,36). </w:t>
      </w:r>
    </w:p>
    <w:p w:rsidR="00097E95" w:rsidRDefault="00097E95" w:rsidP="0073305B">
      <w:pPr>
        <w:spacing w:after="240" w:line="276" w:lineRule="auto"/>
        <w:jc w:val="both"/>
        <w:rPr>
          <w:bCs/>
          <w:lang w:val="es-AR"/>
        </w:rPr>
      </w:pPr>
      <w:r>
        <w:rPr>
          <w:bCs/>
          <w:lang w:val="es-AR"/>
        </w:rPr>
        <w:t>A fs. 149/150 se detalla la gama de tareas a realizar.</w:t>
      </w:r>
    </w:p>
    <w:p w:rsidR="00F9604A" w:rsidRDefault="00097E95" w:rsidP="0073305B">
      <w:pPr>
        <w:spacing w:after="240" w:line="276" w:lineRule="auto"/>
        <w:jc w:val="both"/>
        <w:rPr>
          <w:bCs/>
          <w:lang w:val="es-AR"/>
        </w:rPr>
      </w:pPr>
      <w:r>
        <w:rPr>
          <w:bCs/>
          <w:lang w:val="es-AR"/>
        </w:rPr>
        <w:t>A fs. 1</w:t>
      </w:r>
      <w:r w:rsidR="00F9604A">
        <w:rPr>
          <w:bCs/>
          <w:lang w:val="es-AR"/>
        </w:rPr>
        <w:t>51 obran antecedentes de empresas u organismos en los cuales el oferente ha efectuado servicios de similares características a los solicitados, conforme lo dispuesto por el punto 11 del Pliego de Condiciones Particulares – Capacidad Técnica.</w:t>
      </w:r>
    </w:p>
    <w:p w:rsidR="006D600F" w:rsidRDefault="00F9604A" w:rsidP="006D600F">
      <w:pPr>
        <w:spacing w:after="240" w:line="276" w:lineRule="auto"/>
        <w:jc w:val="both"/>
        <w:rPr>
          <w:bCs/>
          <w:lang w:val="es-AR"/>
        </w:rPr>
      </w:pPr>
      <w:r>
        <w:rPr>
          <w:bCs/>
          <w:lang w:val="es-AR"/>
        </w:rPr>
        <w:t>A fs. 218 obra inscripción en el RIUPP conforme con</w:t>
      </w:r>
      <w:r w:rsidR="006D600F">
        <w:rPr>
          <w:bCs/>
          <w:lang w:val="es-AR"/>
        </w:rPr>
        <w:t>sulta efectuada por esta Unidad, encontrándose inscripto.</w:t>
      </w:r>
    </w:p>
    <w:p w:rsidR="00B32098" w:rsidRDefault="006D600F" w:rsidP="006D600F">
      <w:pPr>
        <w:spacing w:after="240" w:line="276" w:lineRule="auto"/>
        <w:jc w:val="both"/>
        <w:rPr>
          <w:bCs/>
          <w:lang w:val="es-AR"/>
        </w:rPr>
      </w:pPr>
      <w:r>
        <w:rPr>
          <w:bCs/>
          <w:lang w:val="es-AR"/>
        </w:rPr>
        <w:t xml:space="preserve"> </w:t>
      </w:r>
      <w:r w:rsidR="00BF1B8A">
        <w:rPr>
          <w:bCs/>
          <w:lang w:val="es-AR"/>
        </w:rPr>
        <w:t>A fs. 223</w:t>
      </w:r>
      <w:r w:rsidR="00B32098" w:rsidRPr="006A4F19">
        <w:rPr>
          <w:bCs/>
          <w:lang w:val="es-AR"/>
        </w:rPr>
        <w:t xml:space="preserve"> obra el Certificado Fiscal vigente a la fecha de la apertura </w:t>
      </w:r>
      <w:r w:rsidR="00BF1B8A">
        <w:rPr>
          <w:bCs/>
          <w:lang w:val="es-AR"/>
        </w:rPr>
        <w:t>conforme consulta efectuada por esta Unidad.</w:t>
      </w:r>
    </w:p>
    <w:p w:rsidR="00EB1D46" w:rsidRDefault="00EB1D46" w:rsidP="006D600F">
      <w:pPr>
        <w:spacing w:after="240" w:line="276" w:lineRule="auto"/>
        <w:jc w:val="both"/>
        <w:rPr>
          <w:bCs/>
          <w:lang w:val="es-AR"/>
        </w:rPr>
      </w:pPr>
      <w:r>
        <w:rPr>
          <w:bCs/>
          <w:lang w:val="es-AR"/>
        </w:rPr>
        <w:t>A fs. 230/231 obra el Certificado de Habilitación de la empresa conforme lo reglado por la Disposición N° 415-DGDYPC-2011 y lo dispuesto en el punto 5 del Pliego de Condiciones Particulares.</w:t>
      </w:r>
    </w:p>
    <w:p w:rsidR="00EB1D46" w:rsidRPr="006A4F19" w:rsidRDefault="00EB1D46" w:rsidP="006D600F">
      <w:pPr>
        <w:spacing w:after="240" w:line="276" w:lineRule="auto"/>
        <w:jc w:val="both"/>
        <w:rPr>
          <w:bCs/>
          <w:lang w:val="es-AR"/>
        </w:rPr>
      </w:pPr>
      <w:r>
        <w:rPr>
          <w:bCs/>
          <w:lang w:val="es-AR"/>
        </w:rPr>
        <w:t>A fs. 232 obra la DDJJ constituyendo domicilio, teléfono y correo electrónico.</w:t>
      </w:r>
    </w:p>
    <w:p w:rsidR="00956E0C" w:rsidRPr="006A4F19" w:rsidRDefault="00423C2C" w:rsidP="006A4F19">
      <w:pPr>
        <w:pStyle w:val="Textoindependiente3"/>
        <w:spacing w:before="240" w:line="276" w:lineRule="auto"/>
        <w:jc w:val="both"/>
        <w:rPr>
          <w:sz w:val="24"/>
          <w:szCs w:val="24"/>
        </w:rPr>
      </w:pPr>
      <w:r>
        <w:rPr>
          <w:bCs/>
          <w:sz w:val="24"/>
          <w:szCs w:val="24"/>
          <w:lang w:val="es-AR"/>
        </w:rPr>
        <w:t xml:space="preserve">A fs. 236 </w:t>
      </w:r>
      <w:r w:rsidR="00726975" w:rsidRPr="006A4F19">
        <w:rPr>
          <w:bCs/>
          <w:sz w:val="24"/>
          <w:szCs w:val="24"/>
          <w:lang w:val="es-AR"/>
        </w:rPr>
        <w:t xml:space="preserve">obra el Informe Técnico concluyendo que la oferta </w:t>
      </w:r>
      <w:r w:rsidR="008966B6">
        <w:rPr>
          <w:bCs/>
          <w:sz w:val="24"/>
          <w:szCs w:val="24"/>
          <w:lang w:val="es-AR"/>
        </w:rPr>
        <w:t>“</w:t>
      </w:r>
      <w:r w:rsidRPr="00423C2C">
        <w:rPr>
          <w:sz w:val="24"/>
          <w:szCs w:val="24"/>
          <w:lang w:val="es-ES_tradnl"/>
        </w:rPr>
        <w:t>cumple con lo solicitado en Pliego de Especificaciones Técnicas (inscripción en Registro, plan de trabajo, capacidad técnica</w:t>
      </w:r>
      <w:r>
        <w:rPr>
          <w:lang w:val="es-ES_tradnl"/>
        </w:rPr>
        <w:t>)</w:t>
      </w:r>
      <w:r w:rsidR="008966B6">
        <w:rPr>
          <w:lang w:val="es-ES_tradnl"/>
        </w:rPr>
        <w:t>”</w:t>
      </w:r>
    </w:p>
    <w:p w:rsidR="00544E8A" w:rsidRPr="006A4F19" w:rsidRDefault="00544E8A" w:rsidP="006A4F19">
      <w:pPr>
        <w:pStyle w:val="Textoindependiente"/>
        <w:spacing w:line="276" w:lineRule="auto"/>
        <w:rPr>
          <w:szCs w:val="24"/>
        </w:rPr>
      </w:pPr>
    </w:p>
    <w:p w:rsidR="00036535" w:rsidRPr="006A4F19" w:rsidRDefault="00036535" w:rsidP="006A4F19">
      <w:pPr>
        <w:pStyle w:val="Textoindependiente"/>
        <w:spacing w:line="276" w:lineRule="auto"/>
        <w:rPr>
          <w:b/>
          <w:bCs/>
          <w:szCs w:val="24"/>
          <w:lang w:val="es-AR"/>
        </w:rPr>
      </w:pPr>
      <w:r w:rsidRPr="006A4F19">
        <w:rPr>
          <w:b/>
          <w:bCs/>
          <w:szCs w:val="24"/>
          <w:lang w:val="es-AR"/>
        </w:rPr>
        <w:lastRenderedPageBreak/>
        <w:t>Del análisis efectuado y de acuerdo con lo aquí expresado, esta Comisión estima que la presente debe ser considerada como</w:t>
      </w:r>
      <w:r w:rsidR="00C73F27" w:rsidRPr="006A4F19">
        <w:rPr>
          <w:b/>
          <w:bCs/>
          <w:szCs w:val="24"/>
          <w:lang w:val="es-AR"/>
        </w:rPr>
        <w:t xml:space="preserve"> </w:t>
      </w:r>
      <w:r w:rsidRPr="006A4F19">
        <w:rPr>
          <w:b/>
          <w:bCs/>
          <w:szCs w:val="24"/>
          <w:u w:val="single"/>
          <w:lang w:val="es-AR"/>
        </w:rPr>
        <w:t>oferta admisible</w:t>
      </w:r>
      <w:r w:rsidRPr="006A4F19">
        <w:rPr>
          <w:b/>
          <w:bCs/>
          <w:szCs w:val="24"/>
          <w:lang w:val="es-AR"/>
        </w:rPr>
        <w:t>.</w:t>
      </w:r>
    </w:p>
    <w:p w:rsidR="00F51074" w:rsidRPr="006A4F19" w:rsidRDefault="00F51074" w:rsidP="006A4F19">
      <w:pPr>
        <w:pStyle w:val="Textoindependiente"/>
        <w:spacing w:line="276" w:lineRule="auto"/>
        <w:rPr>
          <w:b/>
          <w:bCs/>
          <w:szCs w:val="24"/>
          <w:lang w:val="es-AR"/>
        </w:rPr>
      </w:pPr>
    </w:p>
    <w:p w:rsidR="008540D2" w:rsidRPr="006A4F19" w:rsidRDefault="008540D2" w:rsidP="006A4F19">
      <w:pPr>
        <w:pStyle w:val="Textoindependiente"/>
        <w:spacing w:line="276" w:lineRule="auto"/>
        <w:rPr>
          <w:b/>
          <w:bCs/>
          <w:szCs w:val="24"/>
          <w:lang w:val="es-AR"/>
        </w:rPr>
      </w:pPr>
    </w:p>
    <w:p w:rsidR="00F51074" w:rsidRPr="00AD723A" w:rsidRDefault="00F51074" w:rsidP="006A4F19">
      <w:pPr>
        <w:spacing w:line="276" w:lineRule="auto"/>
        <w:jc w:val="both"/>
        <w:rPr>
          <w:b/>
          <w:u w:val="single"/>
          <w:lang w:val="en-US"/>
        </w:rPr>
      </w:pPr>
      <w:r w:rsidRPr="00AD723A">
        <w:rPr>
          <w:b/>
          <w:u w:val="single"/>
          <w:lang w:val="en-US"/>
        </w:rPr>
        <w:t xml:space="preserve">2.  </w:t>
      </w:r>
      <w:r w:rsidR="00BF1B8A" w:rsidRPr="00AD723A">
        <w:rPr>
          <w:b/>
          <w:u w:val="single"/>
          <w:lang w:val="en-US"/>
        </w:rPr>
        <w:t>MARIN SERVICE S.A</w:t>
      </w:r>
      <w:r w:rsidR="00726975" w:rsidRPr="00AD723A">
        <w:rPr>
          <w:b/>
          <w:u w:val="single"/>
          <w:lang w:val="en-US"/>
        </w:rPr>
        <w:t xml:space="preserve">. </w:t>
      </w:r>
    </w:p>
    <w:p w:rsidR="00F51074" w:rsidRPr="00AD723A" w:rsidRDefault="00F51074" w:rsidP="006A4F19">
      <w:pPr>
        <w:spacing w:line="276" w:lineRule="auto"/>
        <w:jc w:val="both"/>
        <w:rPr>
          <w:b/>
          <w:lang w:val="en-US"/>
        </w:rPr>
      </w:pPr>
      <w:r w:rsidRPr="00AD723A">
        <w:rPr>
          <w:b/>
          <w:lang w:val="en-US"/>
        </w:rPr>
        <w:t>CUIT N</w:t>
      </w:r>
      <w:proofErr w:type="gramStart"/>
      <w:r w:rsidRPr="00AD723A">
        <w:rPr>
          <w:b/>
          <w:lang w:val="en-US"/>
        </w:rPr>
        <w:t xml:space="preserve">º  </w:t>
      </w:r>
      <w:r w:rsidR="00BF1B8A" w:rsidRPr="00AD723A">
        <w:rPr>
          <w:b/>
          <w:lang w:val="en-US"/>
        </w:rPr>
        <w:t>30</w:t>
      </w:r>
      <w:proofErr w:type="gramEnd"/>
      <w:r w:rsidR="00BF1B8A" w:rsidRPr="00AD723A">
        <w:rPr>
          <w:b/>
          <w:lang w:val="en-US"/>
        </w:rPr>
        <w:t>-68265746-0</w:t>
      </w:r>
    </w:p>
    <w:p w:rsidR="00F51074" w:rsidRPr="006A4F19" w:rsidRDefault="00F51074" w:rsidP="006A4F19">
      <w:pPr>
        <w:spacing w:line="276" w:lineRule="auto"/>
        <w:jc w:val="both"/>
        <w:rPr>
          <w:b/>
          <w:lang w:val="es-AR"/>
        </w:rPr>
      </w:pPr>
      <w:r w:rsidRPr="006A4F19">
        <w:rPr>
          <w:b/>
          <w:lang w:val="es-AR"/>
        </w:rPr>
        <w:t>DIRECCIÓN:</w:t>
      </w:r>
      <w:r w:rsidR="00A02B9A" w:rsidRPr="006A4F19">
        <w:rPr>
          <w:b/>
          <w:lang w:val="es-AR"/>
        </w:rPr>
        <w:t xml:space="preserve"> </w:t>
      </w:r>
      <w:r w:rsidR="00BF1B8A">
        <w:rPr>
          <w:b/>
          <w:lang w:val="es-AR"/>
        </w:rPr>
        <w:t>Campillo 2569</w:t>
      </w:r>
      <w:r w:rsidR="00726975" w:rsidRPr="006A4F19">
        <w:rPr>
          <w:b/>
          <w:lang w:val="es-AR"/>
        </w:rPr>
        <w:t>, C.A.B.A.</w:t>
      </w:r>
    </w:p>
    <w:p w:rsidR="00F51074" w:rsidRPr="006A4F19" w:rsidRDefault="00F51074" w:rsidP="006A4F19">
      <w:pPr>
        <w:spacing w:line="276" w:lineRule="auto"/>
        <w:jc w:val="both"/>
        <w:rPr>
          <w:b/>
          <w:lang w:val="es-AR"/>
        </w:rPr>
      </w:pPr>
      <w:r w:rsidRPr="006A4F19">
        <w:rPr>
          <w:b/>
          <w:lang w:val="es-AR"/>
        </w:rPr>
        <w:t xml:space="preserve">TELEFONO: </w:t>
      </w:r>
      <w:r w:rsidR="00BF1B8A">
        <w:rPr>
          <w:b/>
          <w:lang w:val="es-AR"/>
        </w:rPr>
        <w:t>4523-6965</w:t>
      </w:r>
      <w:r w:rsidRPr="006A4F19">
        <w:rPr>
          <w:b/>
          <w:lang w:val="es-AR"/>
        </w:rPr>
        <w:t xml:space="preserve">   </w:t>
      </w:r>
    </w:p>
    <w:p w:rsidR="00A02B9A" w:rsidRDefault="00F51074" w:rsidP="006A4F19">
      <w:pPr>
        <w:spacing w:line="276" w:lineRule="auto"/>
        <w:jc w:val="both"/>
      </w:pPr>
      <w:r w:rsidRPr="006A4F19">
        <w:rPr>
          <w:b/>
          <w:lang w:val="es-AR"/>
        </w:rPr>
        <w:t xml:space="preserve">CORREO ELECTRONICO: </w:t>
      </w:r>
      <w:hyperlink r:id="rId10" w:history="1">
        <w:r w:rsidR="00BF1B8A" w:rsidRPr="004C1014">
          <w:rPr>
            <w:rStyle w:val="Hipervnculo"/>
          </w:rPr>
          <w:t>marinservice@marinservice.com.ar</w:t>
        </w:r>
      </w:hyperlink>
    </w:p>
    <w:p w:rsidR="008966B6" w:rsidRDefault="008966B6" w:rsidP="006D600F">
      <w:pPr>
        <w:spacing w:after="240" w:line="360" w:lineRule="auto"/>
        <w:jc w:val="both"/>
        <w:rPr>
          <w:bCs/>
          <w:lang w:val="es-AR"/>
        </w:rPr>
      </w:pPr>
    </w:p>
    <w:p w:rsidR="006D600F" w:rsidRDefault="002B0158" w:rsidP="006D600F">
      <w:pPr>
        <w:spacing w:after="240" w:line="360" w:lineRule="auto"/>
        <w:jc w:val="both"/>
        <w:rPr>
          <w:bCs/>
          <w:lang w:val="es-AR"/>
        </w:rPr>
      </w:pPr>
      <w:r w:rsidRPr="002B0158">
        <w:rPr>
          <w:bCs/>
          <w:lang w:val="es-AR"/>
        </w:rPr>
        <w:t xml:space="preserve">A fs. </w:t>
      </w:r>
      <w:r>
        <w:rPr>
          <w:bCs/>
          <w:lang w:val="es-AR"/>
        </w:rPr>
        <w:t>187/18</w:t>
      </w:r>
      <w:r w:rsidRPr="002B0158">
        <w:rPr>
          <w:bCs/>
          <w:lang w:val="es-AR"/>
        </w:rPr>
        <w:t xml:space="preserve">8 obra la oferta por una suma total de PESOS </w:t>
      </w:r>
      <w:r>
        <w:rPr>
          <w:bCs/>
          <w:lang w:val="es-AR"/>
        </w:rPr>
        <w:t xml:space="preserve">UN MILLON OCHOCIENTOS CUARENTA Y OCHO MIL </w:t>
      </w:r>
      <w:r w:rsidRPr="002B0158">
        <w:rPr>
          <w:bCs/>
          <w:lang w:val="es-AR"/>
        </w:rPr>
        <w:t xml:space="preserve">($ </w:t>
      </w:r>
      <w:r>
        <w:rPr>
          <w:bCs/>
          <w:lang w:val="es-AR"/>
        </w:rPr>
        <w:t>1.848.000,00</w:t>
      </w:r>
      <w:r w:rsidRPr="002B0158">
        <w:rPr>
          <w:bCs/>
          <w:lang w:val="es-AR"/>
        </w:rPr>
        <w:t>)</w:t>
      </w:r>
      <w:r w:rsidR="008416FC">
        <w:rPr>
          <w:bCs/>
          <w:lang w:val="es-AR"/>
        </w:rPr>
        <w:t xml:space="preserve"> IVA incluido</w:t>
      </w:r>
      <w:r w:rsidRPr="002B0158">
        <w:rPr>
          <w:bCs/>
          <w:lang w:val="es-AR"/>
        </w:rPr>
        <w:t xml:space="preserve">. Se hace saber que esta Unidad al efectuar el análisis de los precios advierte que </w:t>
      </w:r>
      <w:r w:rsidR="006D600F">
        <w:rPr>
          <w:bCs/>
          <w:lang w:val="es-AR"/>
        </w:rPr>
        <w:t xml:space="preserve">si bien el monto total de la oferta es el mismo, los precios unitarios para cada </w:t>
      </w:r>
      <w:proofErr w:type="spellStart"/>
      <w:r w:rsidR="006D600F">
        <w:rPr>
          <w:bCs/>
          <w:lang w:val="es-AR"/>
        </w:rPr>
        <w:t>subrenglón</w:t>
      </w:r>
      <w:proofErr w:type="spellEnd"/>
      <w:r w:rsidR="006D600F">
        <w:rPr>
          <w:bCs/>
          <w:lang w:val="es-AR"/>
        </w:rPr>
        <w:t xml:space="preserve"> difieren</w:t>
      </w:r>
      <w:r w:rsidRPr="002B0158">
        <w:rPr>
          <w:bCs/>
          <w:lang w:val="es-AR"/>
        </w:rPr>
        <w:t>.</w:t>
      </w:r>
    </w:p>
    <w:p w:rsidR="006D600F" w:rsidRDefault="006D600F" w:rsidP="006D600F">
      <w:pPr>
        <w:spacing w:after="240" w:line="360" w:lineRule="auto"/>
        <w:jc w:val="both"/>
        <w:rPr>
          <w:bCs/>
          <w:lang w:val="es-AR"/>
        </w:rPr>
      </w:pPr>
      <w:r>
        <w:rPr>
          <w:bCs/>
          <w:lang w:val="es-AR"/>
        </w:rPr>
        <w:t>A fs. 188 obran antecedentes de empresas u organismos en los cuales el oferente ha efectuado servicios de similares características a los solicitados, conforme lo dispuesto por el punto 11 del Pliego de Condiciones Particulares – Capacidad Técnica.</w:t>
      </w:r>
    </w:p>
    <w:p w:rsidR="006D600F" w:rsidRDefault="006D600F" w:rsidP="006D600F">
      <w:pPr>
        <w:spacing w:after="240" w:line="360" w:lineRule="auto"/>
        <w:jc w:val="both"/>
        <w:rPr>
          <w:bCs/>
          <w:lang w:val="es-AR"/>
        </w:rPr>
      </w:pPr>
      <w:r>
        <w:rPr>
          <w:bCs/>
          <w:lang w:val="es-AR"/>
        </w:rPr>
        <w:t>A fs. 189 obra una nota haciendo saber una garantía de oferta de Federación Patronal Seguros S.A. de $93.000.-, no acompañando la Póliza de Caución respectiva y requerida para este tipo de contrataciones conforme surge de la Ley 2095 y sus modificatorias.</w:t>
      </w:r>
    </w:p>
    <w:p w:rsidR="006D600F" w:rsidRDefault="006D600F" w:rsidP="006D600F">
      <w:pPr>
        <w:spacing w:after="240" w:line="360" w:lineRule="auto"/>
        <w:jc w:val="both"/>
        <w:rPr>
          <w:bCs/>
          <w:lang w:val="es-AR"/>
        </w:rPr>
      </w:pPr>
      <w:r w:rsidRPr="006A4F19">
        <w:rPr>
          <w:bCs/>
          <w:lang w:val="es-AR"/>
        </w:rPr>
        <w:t xml:space="preserve">A fs. </w:t>
      </w:r>
      <w:r>
        <w:rPr>
          <w:bCs/>
          <w:lang w:val="es-AR"/>
        </w:rPr>
        <w:t>193</w:t>
      </w:r>
      <w:r w:rsidRPr="006A4F19">
        <w:rPr>
          <w:bCs/>
          <w:lang w:val="es-AR"/>
        </w:rPr>
        <w:t xml:space="preserve"> obra la constancia de retiro de pliego de bases y condiciones</w:t>
      </w:r>
      <w:r>
        <w:rPr>
          <w:bCs/>
          <w:lang w:val="es-AR"/>
        </w:rPr>
        <w:t>.</w:t>
      </w:r>
    </w:p>
    <w:p w:rsidR="006D600F" w:rsidRDefault="006D600F" w:rsidP="006D600F">
      <w:pPr>
        <w:spacing w:after="240" w:line="276" w:lineRule="auto"/>
        <w:jc w:val="both"/>
        <w:rPr>
          <w:bCs/>
          <w:lang w:val="es-AR"/>
        </w:rPr>
      </w:pPr>
      <w:r w:rsidRPr="006A4F19">
        <w:t xml:space="preserve">A fs. </w:t>
      </w:r>
      <w:r>
        <w:t>194</w:t>
      </w:r>
      <w:r w:rsidRPr="006A4F19">
        <w:t xml:space="preserve"> obra el Certificado de Visita de acuerdo a lo establecido en el Pliego de Condiciones Particulares</w:t>
      </w:r>
      <w:r w:rsidRPr="006A4F19">
        <w:rPr>
          <w:bCs/>
          <w:lang w:val="es-AR"/>
        </w:rPr>
        <w:t>.</w:t>
      </w:r>
    </w:p>
    <w:p w:rsidR="006D600F" w:rsidRDefault="006D600F" w:rsidP="006D600F">
      <w:pPr>
        <w:spacing w:after="240" w:line="276" w:lineRule="auto"/>
        <w:jc w:val="both"/>
        <w:rPr>
          <w:bCs/>
          <w:lang w:val="es-AR"/>
        </w:rPr>
      </w:pPr>
      <w:r>
        <w:rPr>
          <w:bCs/>
          <w:lang w:val="es-AR"/>
        </w:rPr>
        <w:t>A fs. 195 obra el Certificado de Habilitación de la empresa conforme lo reglado por la Disposición N° 415-DGDYPC-2011 y lo dispuesto en el punto 5 del Pliego de Condiciones Particulares.</w:t>
      </w:r>
    </w:p>
    <w:p w:rsidR="006D600F" w:rsidRPr="006A4F19" w:rsidRDefault="006D600F" w:rsidP="006D600F">
      <w:pPr>
        <w:pStyle w:val="Textoindependiente3"/>
        <w:spacing w:before="240" w:line="360" w:lineRule="auto"/>
        <w:jc w:val="both"/>
        <w:rPr>
          <w:bCs/>
          <w:sz w:val="24"/>
          <w:szCs w:val="24"/>
          <w:lang w:val="es-AR"/>
        </w:rPr>
      </w:pPr>
      <w:r w:rsidRPr="006A4F19">
        <w:rPr>
          <w:bCs/>
          <w:sz w:val="24"/>
          <w:szCs w:val="24"/>
          <w:lang w:val="es-AR"/>
        </w:rPr>
        <w:t xml:space="preserve">A fs. </w:t>
      </w:r>
      <w:r>
        <w:rPr>
          <w:bCs/>
          <w:sz w:val="24"/>
          <w:szCs w:val="24"/>
          <w:lang w:val="es-AR"/>
        </w:rPr>
        <w:t xml:space="preserve">213/214 </w:t>
      </w:r>
      <w:r w:rsidRPr="006A4F19">
        <w:rPr>
          <w:bCs/>
          <w:sz w:val="24"/>
          <w:szCs w:val="24"/>
          <w:lang w:val="es-AR"/>
        </w:rPr>
        <w:t>obra la DDJJ de aptitud para</w:t>
      </w:r>
      <w:r>
        <w:rPr>
          <w:bCs/>
          <w:sz w:val="24"/>
          <w:szCs w:val="24"/>
          <w:lang w:val="es-AR"/>
        </w:rPr>
        <w:t xml:space="preserve"> contratar</w:t>
      </w:r>
      <w:r w:rsidRPr="006A4F19">
        <w:rPr>
          <w:bCs/>
          <w:sz w:val="24"/>
          <w:szCs w:val="24"/>
          <w:lang w:val="es-AR"/>
        </w:rPr>
        <w:t>.</w:t>
      </w:r>
    </w:p>
    <w:p w:rsidR="006D600F" w:rsidRDefault="006D600F" w:rsidP="006D600F">
      <w:pPr>
        <w:spacing w:after="120" w:line="360" w:lineRule="auto"/>
        <w:jc w:val="both"/>
        <w:rPr>
          <w:bCs/>
          <w:lang w:val="es-AR"/>
        </w:rPr>
      </w:pPr>
      <w:r>
        <w:rPr>
          <w:bCs/>
          <w:lang w:val="es-AR"/>
        </w:rPr>
        <w:t>A fs. 217</w:t>
      </w:r>
      <w:r w:rsidRPr="006D600F">
        <w:rPr>
          <w:bCs/>
          <w:lang w:val="es-AR"/>
        </w:rPr>
        <w:t xml:space="preserve"> obra inscripción en el RIUPP conforme co</w:t>
      </w:r>
      <w:r>
        <w:rPr>
          <w:bCs/>
          <w:lang w:val="es-AR"/>
        </w:rPr>
        <w:t>nsulta efectuada por esta Unida</w:t>
      </w:r>
      <w:r w:rsidR="00AD723A">
        <w:rPr>
          <w:bCs/>
          <w:lang w:val="es-AR"/>
        </w:rPr>
        <w:t>d</w:t>
      </w:r>
      <w:r>
        <w:rPr>
          <w:bCs/>
          <w:lang w:val="es-AR"/>
        </w:rPr>
        <w:t>, encontrándose inscripto</w:t>
      </w:r>
      <w:r w:rsidRPr="006D600F">
        <w:rPr>
          <w:bCs/>
          <w:lang w:val="es-AR"/>
        </w:rPr>
        <w:t>.</w:t>
      </w:r>
    </w:p>
    <w:p w:rsidR="00BC1CC7" w:rsidRPr="006D600F" w:rsidRDefault="00BC1CC7" w:rsidP="006D600F">
      <w:pPr>
        <w:spacing w:after="120" w:line="360" w:lineRule="auto"/>
        <w:jc w:val="both"/>
        <w:rPr>
          <w:bCs/>
          <w:lang w:val="es-AR"/>
        </w:rPr>
      </w:pPr>
      <w:r>
        <w:rPr>
          <w:bCs/>
          <w:lang w:val="es-AR"/>
        </w:rPr>
        <w:lastRenderedPageBreak/>
        <w:t>A fs. 219/220 obra consulta efectuada por esta Unidad al Registro de Deudores Alimentarios Morosos de los titulares de la empresa.</w:t>
      </w:r>
    </w:p>
    <w:p w:rsidR="00AD723A" w:rsidRDefault="008966B6" w:rsidP="00AD723A">
      <w:pPr>
        <w:pStyle w:val="Textoindependiente3"/>
        <w:spacing w:before="240" w:line="276" w:lineRule="auto"/>
        <w:jc w:val="both"/>
        <w:rPr>
          <w:sz w:val="24"/>
          <w:szCs w:val="24"/>
          <w:lang w:val="es-ES_tradnl"/>
        </w:rPr>
      </w:pPr>
      <w:r w:rsidRPr="00AD723A">
        <w:rPr>
          <w:bCs/>
          <w:sz w:val="24"/>
          <w:szCs w:val="24"/>
          <w:lang w:val="es-AR"/>
        </w:rPr>
        <w:t>A fs. 236 obra el Informe Técnico concluyendo que la oferta “</w:t>
      </w:r>
      <w:r w:rsidRPr="00AD723A">
        <w:rPr>
          <w:sz w:val="24"/>
          <w:szCs w:val="24"/>
          <w:lang w:val="es-ES_tradnl"/>
        </w:rPr>
        <w:t>cumple con lo solicitado”</w:t>
      </w:r>
      <w:r w:rsidR="00AD723A">
        <w:rPr>
          <w:sz w:val="24"/>
          <w:szCs w:val="24"/>
          <w:lang w:val="es-ES_tradnl"/>
        </w:rPr>
        <w:t>.</w:t>
      </w:r>
    </w:p>
    <w:p w:rsidR="006D600F" w:rsidRPr="00AD723A" w:rsidRDefault="006D600F" w:rsidP="00AD723A">
      <w:pPr>
        <w:pStyle w:val="Textoindependiente3"/>
        <w:spacing w:before="240" w:line="276" w:lineRule="auto"/>
        <w:jc w:val="both"/>
        <w:rPr>
          <w:sz w:val="24"/>
          <w:szCs w:val="24"/>
          <w:lang w:val="es-ES_tradnl"/>
        </w:rPr>
      </w:pPr>
      <w:r w:rsidRPr="00AD723A">
        <w:rPr>
          <w:bCs/>
          <w:sz w:val="24"/>
          <w:szCs w:val="24"/>
          <w:lang w:val="es-AR"/>
        </w:rPr>
        <w:t>A fs. 22</w:t>
      </w:r>
      <w:r w:rsidR="00BC1CC7" w:rsidRPr="00AD723A">
        <w:rPr>
          <w:bCs/>
          <w:sz w:val="24"/>
          <w:szCs w:val="24"/>
          <w:lang w:val="es-AR"/>
        </w:rPr>
        <w:t>4</w:t>
      </w:r>
      <w:r w:rsidRPr="00AD723A">
        <w:rPr>
          <w:bCs/>
          <w:sz w:val="24"/>
          <w:szCs w:val="24"/>
          <w:lang w:val="es-AR"/>
        </w:rPr>
        <w:t xml:space="preserve"> obra </w:t>
      </w:r>
      <w:r w:rsidR="00BC1CC7" w:rsidRPr="00AD723A">
        <w:rPr>
          <w:bCs/>
          <w:sz w:val="24"/>
          <w:szCs w:val="24"/>
          <w:lang w:val="es-AR"/>
        </w:rPr>
        <w:t>consulta de</w:t>
      </w:r>
      <w:r w:rsidRPr="00AD723A">
        <w:rPr>
          <w:bCs/>
          <w:sz w:val="24"/>
          <w:szCs w:val="24"/>
          <w:lang w:val="es-AR"/>
        </w:rPr>
        <w:t xml:space="preserve"> Certificado Fiscal</w:t>
      </w:r>
      <w:r w:rsidR="00BC1CC7" w:rsidRPr="00AD723A">
        <w:rPr>
          <w:bCs/>
          <w:sz w:val="24"/>
          <w:szCs w:val="24"/>
          <w:lang w:val="es-AR"/>
        </w:rPr>
        <w:t xml:space="preserve"> efectuado por esta Unidad, del cual surge</w:t>
      </w:r>
      <w:r w:rsidR="00BC1CC7">
        <w:rPr>
          <w:bCs/>
          <w:lang w:val="es-AR"/>
        </w:rPr>
        <w:t xml:space="preserve"> </w:t>
      </w:r>
      <w:r w:rsidR="00BC1CC7" w:rsidRPr="00AD723A">
        <w:rPr>
          <w:bCs/>
          <w:sz w:val="24"/>
          <w:szCs w:val="24"/>
          <w:lang w:val="es-AR"/>
        </w:rPr>
        <w:t>que dicho certificado venció el 02/03/07</w:t>
      </w:r>
      <w:r w:rsidRPr="00AD723A">
        <w:rPr>
          <w:bCs/>
          <w:sz w:val="24"/>
          <w:szCs w:val="24"/>
          <w:lang w:val="es-AR"/>
        </w:rPr>
        <w:t>.</w:t>
      </w:r>
    </w:p>
    <w:p w:rsidR="00F751DD" w:rsidRPr="00006DAB" w:rsidRDefault="00BC1CC7" w:rsidP="00BC1CC7">
      <w:pPr>
        <w:pStyle w:val="Textoindependiente3"/>
        <w:spacing w:line="276" w:lineRule="auto"/>
        <w:jc w:val="both"/>
        <w:rPr>
          <w:b/>
          <w:bCs/>
          <w:sz w:val="24"/>
          <w:szCs w:val="24"/>
          <w:lang w:val="es-AR"/>
        </w:rPr>
      </w:pPr>
      <w:r>
        <w:rPr>
          <w:b/>
          <w:bCs/>
          <w:sz w:val="24"/>
          <w:szCs w:val="24"/>
          <w:lang w:val="es-AR"/>
        </w:rPr>
        <w:t xml:space="preserve">Del análisis efectuado y toda vez que el oferente no acompañó al momento de la apertura, Póliza de Caución, incumpliendo con lo dispuesto por el Art. 99 de la Ley 2095 y sus complementarias, siendo este un requisito indispensable e insubsanable con posterioridad al acto de apertura, más allá del análisis que pueda realizarse de la restante documentación, como así también de la oferta realizada, </w:t>
      </w:r>
      <w:r w:rsidR="00F079BB" w:rsidRPr="006A4F19">
        <w:rPr>
          <w:b/>
          <w:bCs/>
          <w:sz w:val="24"/>
          <w:szCs w:val="24"/>
          <w:lang w:val="es-AR"/>
        </w:rPr>
        <w:t xml:space="preserve">esta Comisión estima que la presente debe ser considerada como </w:t>
      </w:r>
      <w:r w:rsidR="00F079BB" w:rsidRPr="006A4F19">
        <w:rPr>
          <w:b/>
          <w:bCs/>
          <w:sz w:val="24"/>
          <w:szCs w:val="24"/>
          <w:u w:val="single"/>
          <w:lang w:val="es-AR"/>
        </w:rPr>
        <w:t xml:space="preserve">oferta </w:t>
      </w:r>
      <w:r>
        <w:rPr>
          <w:b/>
          <w:bCs/>
          <w:sz w:val="24"/>
          <w:szCs w:val="24"/>
          <w:u w:val="single"/>
          <w:lang w:val="es-AR"/>
        </w:rPr>
        <w:t>in</w:t>
      </w:r>
      <w:r w:rsidR="00F079BB" w:rsidRPr="006A4F19">
        <w:rPr>
          <w:b/>
          <w:bCs/>
          <w:sz w:val="24"/>
          <w:szCs w:val="24"/>
          <w:u w:val="single"/>
          <w:lang w:val="es-AR"/>
        </w:rPr>
        <w:t>admisible</w:t>
      </w:r>
      <w:r w:rsidR="00006DAB">
        <w:rPr>
          <w:b/>
          <w:bCs/>
          <w:sz w:val="24"/>
          <w:szCs w:val="24"/>
          <w:lang w:val="es-AR"/>
        </w:rPr>
        <w:t>.</w:t>
      </w:r>
    </w:p>
    <w:p w:rsidR="009950EF" w:rsidRPr="006A4F19" w:rsidRDefault="009950EF" w:rsidP="006A4F19">
      <w:pPr>
        <w:pStyle w:val="Textoindependiente"/>
        <w:spacing w:line="276" w:lineRule="auto"/>
        <w:rPr>
          <w:b/>
          <w:bCs/>
          <w:szCs w:val="24"/>
          <w:u w:val="single"/>
          <w:lang w:val="es-AR"/>
        </w:rPr>
      </w:pPr>
    </w:p>
    <w:p w:rsidR="00F44B4E" w:rsidRPr="006A4F19" w:rsidRDefault="00F44B4E" w:rsidP="006A4F19">
      <w:pPr>
        <w:pStyle w:val="Textoindependiente"/>
        <w:spacing w:line="276" w:lineRule="auto"/>
        <w:rPr>
          <w:bCs/>
          <w:szCs w:val="24"/>
        </w:rPr>
      </w:pPr>
      <w:r w:rsidRPr="006A4F19">
        <w:rPr>
          <w:b/>
          <w:szCs w:val="24"/>
          <w:u w:val="single"/>
        </w:rPr>
        <w:t>CONCLUSION</w:t>
      </w:r>
    </w:p>
    <w:p w:rsidR="00F44B4E" w:rsidRPr="006A4F19" w:rsidRDefault="00F44B4E" w:rsidP="006A4F19">
      <w:pPr>
        <w:pStyle w:val="Textoindependiente"/>
        <w:spacing w:line="276" w:lineRule="auto"/>
        <w:rPr>
          <w:szCs w:val="24"/>
          <w:lang w:val="es-AR"/>
        </w:rPr>
      </w:pPr>
    </w:p>
    <w:p w:rsidR="009C6B77" w:rsidRPr="00B23547" w:rsidRDefault="00F44B4E" w:rsidP="009C6B77">
      <w:pPr>
        <w:pStyle w:val="Textoindependiente"/>
        <w:spacing w:line="276" w:lineRule="auto"/>
        <w:rPr>
          <w:lang w:val="es-AR"/>
        </w:rPr>
      </w:pPr>
      <w:r w:rsidRPr="006A4F19">
        <w:rPr>
          <w:szCs w:val="24"/>
          <w:lang w:val="es-AR"/>
        </w:rPr>
        <w:t>Del análisis practicado sobre la documentación aportada por los in</w:t>
      </w:r>
      <w:r w:rsidR="00006DAB">
        <w:rPr>
          <w:szCs w:val="24"/>
          <w:lang w:val="es-AR"/>
        </w:rPr>
        <w:t>teresados en participar de esta</w:t>
      </w:r>
      <w:r w:rsidRPr="006A4F19">
        <w:rPr>
          <w:szCs w:val="24"/>
        </w:rPr>
        <w:t xml:space="preserve"> </w:t>
      </w:r>
      <w:r w:rsidR="00006DAB" w:rsidRPr="006A4F19">
        <w:t>Licitación Pública N° 2</w:t>
      </w:r>
      <w:r w:rsidR="00BC1CC7">
        <w:t>5</w:t>
      </w:r>
      <w:r w:rsidR="00006DAB" w:rsidRPr="006A4F19">
        <w:t xml:space="preserve">/2014 </w:t>
      </w:r>
      <w:r w:rsidR="00BC1CC7" w:rsidRPr="00BC1CC7">
        <w:t>de etapa única, bajo la modalidad de compra unificada con el Ministerio Público que tiene por objeto la inspecci</w:t>
      </w:r>
      <w:r w:rsidR="005F6AC8">
        <w:t>ón</w:t>
      </w:r>
      <w:r w:rsidR="00BC1CC7" w:rsidRPr="00BC1CC7">
        <w:t xml:space="preserve">, puesta a punto, certificación y mantenimiento de los sistemas de redes de incendio y sistemas de detección temprana de incendio existentes en los edificios del Poder Judicial de la Ciudad Autónoma de Buenos Aires sitos en Tacuarí 138, Roque </w:t>
      </w:r>
      <w:proofErr w:type="spellStart"/>
      <w:r w:rsidR="00BC1CC7" w:rsidRPr="00BC1CC7">
        <w:t>Saenz</w:t>
      </w:r>
      <w:proofErr w:type="spellEnd"/>
      <w:r w:rsidR="00BC1CC7" w:rsidRPr="00BC1CC7">
        <w:t xml:space="preserve"> Peña 636, </w:t>
      </w:r>
      <w:proofErr w:type="spellStart"/>
      <w:r w:rsidR="00BC1CC7" w:rsidRPr="00BC1CC7">
        <w:t>Beruti</w:t>
      </w:r>
      <w:proofErr w:type="spellEnd"/>
      <w:r w:rsidR="00BC1CC7" w:rsidRPr="00BC1CC7">
        <w:t xml:space="preserve"> 3345, Libertad 1042, Hipólito </w:t>
      </w:r>
      <w:proofErr w:type="spellStart"/>
      <w:r w:rsidR="00BC1CC7" w:rsidRPr="00BC1CC7">
        <w:t>Yrigoyen</w:t>
      </w:r>
      <w:proofErr w:type="spellEnd"/>
      <w:r w:rsidR="00BC1CC7" w:rsidRPr="00BC1CC7">
        <w:t xml:space="preserve"> 932, </w:t>
      </w:r>
      <w:proofErr w:type="spellStart"/>
      <w:r w:rsidR="00BC1CC7" w:rsidRPr="00BC1CC7">
        <w:t>Beazley</w:t>
      </w:r>
      <w:proofErr w:type="spellEnd"/>
      <w:r w:rsidR="00BC1CC7" w:rsidRPr="00BC1CC7">
        <w:t xml:space="preserve"> 3860, Av. Julio A. Roca 516 y </w:t>
      </w:r>
      <w:proofErr w:type="spellStart"/>
      <w:r w:rsidR="00BC1CC7" w:rsidRPr="00BC1CC7">
        <w:t>Bolivar</w:t>
      </w:r>
      <w:proofErr w:type="spellEnd"/>
      <w:r w:rsidR="00BC1CC7" w:rsidRPr="00BC1CC7">
        <w:t xml:space="preserve"> 177</w:t>
      </w:r>
      <w:r w:rsidR="00006DAB" w:rsidRPr="006A4F19">
        <w:t xml:space="preserve">, con un presupuesto oficial de </w:t>
      </w:r>
      <w:r w:rsidR="005F6AC8" w:rsidRPr="005F6AC8">
        <w:t>Pesos Dos Millones Ciento Noventa y Cuatro Mil Doscientos Ochenta y Cinco con Sesenta y Ocho Mil ($ 2.194.285,68.-), IVA incluido</w:t>
      </w:r>
      <w:r w:rsidR="009C6B77">
        <w:t>,</w:t>
      </w:r>
      <w:r w:rsidR="009C6B77" w:rsidRPr="00F44B4E">
        <w:rPr>
          <w:lang w:val="es-AR"/>
        </w:rPr>
        <w:t xml:space="preserve"> resulta que la oferta presentada por </w:t>
      </w:r>
      <w:r w:rsidR="009C6B77">
        <w:rPr>
          <w:lang w:val="es-AR"/>
        </w:rPr>
        <w:t xml:space="preserve">DAKARI GROUP S.R.L. para el Renglón N°1 y los </w:t>
      </w:r>
      <w:proofErr w:type="spellStart"/>
      <w:r w:rsidR="009C6B77">
        <w:rPr>
          <w:lang w:val="es-AR"/>
        </w:rPr>
        <w:t>subrenglones</w:t>
      </w:r>
      <w:proofErr w:type="spellEnd"/>
      <w:r w:rsidR="009C6B77">
        <w:rPr>
          <w:lang w:val="es-AR"/>
        </w:rPr>
        <w:t xml:space="preserve"> 1.1, 1.2, 1.3, 1.4, 1.5, 1.6, 1.7 y 1.8 es una</w:t>
      </w:r>
      <w:r w:rsidR="009C6B77" w:rsidRPr="00F44B4E">
        <w:rPr>
          <w:lang w:val="es-AR"/>
        </w:rPr>
        <w:t xml:space="preserve"> </w:t>
      </w:r>
      <w:r w:rsidR="009C6B77" w:rsidRPr="00F44B4E">
        <w:rPr>
          <w:u w:val="single"/>
          <w:lang w:val="es-AR"/>
        </w:rPr>
        <w:t>oferta</w:t>
      </w:r>
      <w:r w:rsidR="00B23547">
        <w:rPr>
          <w:u w:val="single"/>
          <w:lang w:val="es-AR"/>
        </w:rPr>
        <w:t xml:space="preserve"> admisible,</w:t>
      </w:r>
      <w:r w:rsidR="00B23547">
        <w:rPr>
          <w:lang w:val="es-AR"/>
        </w:rPr>
        <w:t xml:space="preserve"> mientras que la oferta de MARINE SERVICE S.A. debe ser considerada como </w:t>
      </w:r>
      <w:r w:rsidR="00B23547" w:rsidRPr="00B23547">
        <w:rPr>
          <w:u w:val="single"/>
          <w:lang w:val="es-AR"/>
        </w:rPr>
        <w:t>oferta inadmisible.</w:t>
      </w:r>
    </w:p>
    <w:p w:rsidR="009C6B77" w:rsidRPr="00F44B4E" w:rsidRDefault="009C6B77" w:rsidP="009C6B77">
      <w:pPr>
        <w:pStyle w:val="Textoindependiente"/>
        <w:spacing w:line="276" w:lineRule="auto"/>
        <w:rPr>
          <w:lang w:val="es-AR"/>
        </w:rPr>
      </w:pPr>
    </w:p>
    <w:p w:rsidR="00687BBD" w:rsidRPr="00687BBD" w:rsidRDefault="009C6B77" w:rsidP="00687BBD">
      <w:pPr>
        <w:pStyle w:val="Textoindependiente"/>
        <w:rPr>
          <w:bCs/>
          <w:lang w:val="es-AR"/>
        </w:rPr>
      </w:pPr>
      <w:r w:rsidRPr="00F44B4E">
        <w:rPr>
          <w:lang w:val="es-AR"/>
        </w:rPr>
        <w:t xml:space="preserve">Por lo tanto, esta Comisión entiende que corresponde </w:t>
      </w:r>
      <w:proofErr w:type="spellStart"/>
      <w:r w:rsidRPr="00F44B4E">
        <w:rPr>
          <w:lang w:val="es-AR"/>
        </w:rPr>
        <w:t>preadjudicar</w:t>
      </w:r>
      <w:proofErr w:type="spellEnd"/>
      <w:r w:rsidRPr="00F44B4E">
        <w:rPr>
          <w:lang w:val="es-AR"/>
        </w:rPr>
        <w:t xml:space="preserve"> por un total d</w:t>
      </w:r>
      <w:r>
        <w:rPr>
          <w:lang w:val="es-AR"/>
        </w:rPr>
        <w:t xml:space="preserve">e PESOS </w:t>
      </w:r>
      <w:r w:rsidR="00AD723A">
        <w:rPr>
          <w:bCs/>
          <w:lang w:val="es-AR"/>
        </w:rPr>
        <w:t>DOS MILLONES CIENT</w:t>
      </w:r>
      <w:bookmarkStart w:id="0" w:name="_GoBack"/>
      <w:bookmarkEnd w:id="0"/>
      <w:r w:rsidR="00687BBD" w:rsidRPr="00687BBD">
        <w:rPr>
          <w:bCs/>
          <w:lang w:val="es-AR"/>
        </w:rPr>
        <w:t>O NOVENTA Y UN MIL QUINIENTOS NOVENTA Y NUEVE CON TREINTA Y SEIS CENTAVOS ($ 2.191.599,36)</w:t>
      </w:r>
      <w:r w:rsidR="00687BBD">
        <w:rPr>
          <w:bCs/>
          <w:lang w:val="es-AR"/>
        </w:rPr>
        <w:t xml:space="preserve"> IVA incluido</w:t>
      </w:r>
      <w:r w:rsidR="00687BBD" w:rsidRPr="00687BBD">
        <w:rPr>
          <w:bCs/>
          <w:lang w:val="es-AR"/>
        </w:rPr>
        <w:t xml:space="preserve">. </w:t>
      </w:r>
    </w:p>
    <w:p w:rsidR="00D513EF" w:rsidRPr="006A4F19" w:rsidRDefault="00D513EF" w:rsidP="006A4F19">
      <w:pPr>
        <w:pStyle w:val="Textoindependiente"/>
        <w:spacing w:line="276" w:lineRule="auto"/>
        <w:rPr>
          <w:szCs w:val="24"/>
          <w:lang w:val="es-AR"/>
        </w:rPr>
      </w:pPr>
    </w:p>
    <w:p w:rsidR="003D0D1B" w:rsidRPr="006A4F19" w:rsidRDefault="003D0D1B" w:rsidP="006A4F19">
      <w:pPr>
        <w:pStyle w:val="Textoindependiente"/>
        <w:spacing w:line="276" w:lineRule="auto"/>
        <w:rPr>
          <w:szCs w:val="24"/>
          <w:lang w:val="es-AR"/>
        </w:rPr>
      </w:pPr>
    </w:p>
    <w:p w:rsidR="00F44B4E" w:rsidRPr="006A4F19" w:rsidRDefault="003D0D1B" w:rsidP="006A4F19">
      <w:pPr>
        <w:pStyle w:val="Textoindependiente"/>
        <w:spacing w:line="276" w:lineRule="auto"/>
        <w:rPr>
          <w:szCs w:val="24"/>
          <w:lang w:val="es-AR"/>
        </w:rPr>
      </w:pPr>
      <w:r w:rsidRPr="006A4F19">
        <w:rPr>
          <w:b/>
          <w:szCs w:val="24"/>
          <w:lang w:val="es-AR"/>
        </w:rPr>
        <w:t>Federico Carballo</w:t>
      </w:r>
      <w:r w:rsidRPr="006A4F19">
        <w:rPr>
          <w:b/>
          <w:szCs w:val="24"/>
          <w:lang w:val="es-AR"/>
        </w:rPr>
        <w:tab/>
      </w:r>
      <w:r w:rsidRPr="006A4F19">
        <w:rPr>
          <w:b/>
          <w:szCs w:val="24"/>
          <w:lang w:val="es-AR"/>
        </w:rPr>
        <w:tab/>
      </w:r>
      <w:r w:rsidRPr="006A4F19">
        <w:rPr>
          <w:b/>
          <w:szCs w:val="24"/>
          <w:lang w:val="es-AR"/>
        </w:rPr>
        <w:tab/>
        <w:t>Federico Gallo</w:t>
      </w:r>
      <w:r w:rsidRPr="006A4F19">
        <w:rPr>
          <w:b/>
          <w:szCs w:val="24"/>
          <w:lang w:val="es-AR"/>
        </w:rPr>
        <w:tab/>
      </w:r>
      <w:r w:rsidRPr="006A4F19">
        <w:rPr>
          <w:b/>
          <w:szCs w:val="24"/>
          <w:lang w:val="es-AR"/>
        </w:rPr>
        <w:tab/>
      </w:r>
      <w:proofErr w:type="spellStart"/>
      <w:r w:rsidR="0046567D">
        <w:rPr>
          <w:b/>
          <w:szCs w:val="24"/>
          <w:lang w:val="es-AR"/>
        </w:rPr>
        <w:t>Hernan</w:t>
      </w:r>
      <w:proofErr w:type="spellEnd"/>
      <w:r w:rsidR="0046567D">
        <w:rPr>
          <w:b/>
          <w:szCs w:val="24"/>
          <w:lang w:val="es-AR"/>
        </w:rPr>
        <w:t xml:space="preserve"> </w:t>
      </w:r>
      <w:proofErr w:type="spellStart"/>
      <w:r w:rsidR="0046567D">
        <w:rPr>
          <w:b/>
          <w:szCs w:val="24"/>
          <w:lang w:val="es-AR"/>
        </w:rPr>
        <w:t>Labate</w:t>
      </w:r>
      <w:proofErr w:type="spellEnd"/>
    </w:p>
    <w:p w:rsidR="00F44B4E" w:rsidRPr="006A4F19" w:rsidRDefault="00F44B4E" w:rsidP="006A4F19">
      <w:pPr>
        <w:pStyle w:val="Textoindependiente"/>
        <w:spacing w:line="276" w:lineRule="auto"/>
        <w:rPr>
          <w:szCs w:val="24"/>
          <w:lang w:val="es-AR"/>
        </w:rPr>
      </w:pPr>
    </w:p>
    <w:p w:rsidR="00036535" w:rsidRPr="006A4F19" w:rsidRDefault="00036535" w:rsidP="006A4F19">
      <w:pPr>
        <w:pStyle w:val="Textoindependiente"/>
        <w:spacing w:line="276" w:lineRule="auto"/>
        <w:rPr>
          <w:szCs w:val="24"/>
          <w:lang w:val="es-AR"/>
        </w:rPr>
      </w:pPr>
    </w:p>
    <w:p w:rsidR="005903C6" w:rsidRPr="006A4F19" w:rsidRDefault="005903C6" w:rsidP="006A4F19">
      <w:pPr>
        <w:pStyle w:val="NormalWeb"/>
        <w:shd w:val="clear" w:color="auto" w:fill="FFFFFF"/>
        <w:spacing w:line="276" w:lineRule="auto"/>
        <w:jc w:val="both"/>
        <w:rPr>
          <w:lang w:val="es-AR"/>
        </w:rPr>
      </w:pPr>
    </w:p>
    <w:p w:rsidR="00540C75" w:rsidRPr="006A4F19" w:rsidRDefault="00540C75" w:rsidP="006A4F19">
      <w:pPr>
        <w:spacing w:line="276" w:lineRule="auto"/>
        <w:jc w:val="both"/>
        <w:rPr>
          <w:lang w:val="es-AR"/>
        </w:rPr>
      </w:pPr>
    </w:p>
    <w:p w:rsidR="00983AA4" w:rsidRPr="006A4F19" w:rsidRDefault="00983AA4" w:rsidP="006A4F19">
      <w:pPr>
        <w:spacing w:line="276" w:lineRule="auto"/>
        <w:jc w:val="both"/>
        <w:rPr>
          <w:lang w:val="es-AR"/>
        </w:rPr>
      </w:pPr>
    </w:p>
    <w:sectPr w:rsidR="00983AA4" w:rsidRPr="006A4F19" w:rsidSect="00540C75">
      <w:headerReference w:type="default" r:id="rId11"/>
      <w:footerReference w:type="default" r:id="rId12"/>
      <w:pgSz w:w="11907" w:h="16839"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48B" w:rsidRDefault="00AC748B">
      <w:r>
        <w:separator/>
      </w:r>
    </w:p>
  </w:endnote>
  <w:endnote w:type="continuationSeparator" w:id="0">
    <w:p w:rsidR="00AC748B" w:rsidRDefault="00AC7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E42" w:rsidRDefault="004B0E42">
    <w:pPr>
      <w:pStyle w:val="Piedepgina"/>
      <w:jc w:val="center"/>
    </w:pPr>
    <w:r>
      <w:fldChar w:fldCharType="begin"/>
    </w:r>
    <w:r>
      <w:instrText>PAGE   \* MERGEFORMAT</w:instrText>
    </w:r>
    <w:r>
      <w:fldChar w:fldCharType="separate"/>
    </w:r>
    <w:r w:rsidR="00AD723A">
      <w:rPr>
        <w:noProof/>
      </w:rPr>
      <w:t>7</w:t>
    </w:r>
    <w:r>
      <w:fldChar w:fldCharType="end"/>
    </w:r>
  </w:p>
  <w:p w:rsidR="004B0E42" w:rsidRDefault="004B0E4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48B" w:rsidRDefault="00AC748B">
      <w:r>
        <w:separator/>
      </w:r>
    </w:p>
  </w:footnote>
  <w:footnote w:type="continuationSeparator" w:id="0">
    <w:p w:rsidR="00AC748B" w:rsidRDefault="00AC74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E42" w:rsidRDefault="004B0E42" w:rsidP="00476E6B">
    <w:pPr>
      <w:jc w:val="center"/>
    </w:pPr>
    <w:r>
      <w:object w:dxaOrig="5168" w:dyaOrig="5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5pt;height:56.95pt" o:ole="" fillcolor="window">
          <v:imagedata r:id="rId1" o:title=""/>
        </v:shape>
        <o:OLEObject Type="Embed" ProgID="Word.Picture.8" ShapeID="_x0000_i1025" DrawAspect="Content" ObjectID="_1480850330" r:id="rId2"/>
      </w:object>
    </w:r>
  </w:p>
  <w:p w:rsidR="004B0E42" w:rsidRDefault="004B0E42" w:rsidP="00476E6B">
    <w:pPr>
      <w:jc w:val="center"/>
    </w:pPr>
  </w:p>
  <w:p w:rsidR="004B0E42" w:rsidRPr="00215652" w:rsidRDefault="004B0E42" w:rsidP="00476E6B">
    <w:pPr>
      <w:jc w:val="center"/>
      <w:rPr>
        <w:b/>
        <w:i/>
        <w:sz w:val="28"/>
      </w:rPr>
    </w:pPr>
    <w:r>
      <w:rPr>
        <w:b/>
        <w:i/>
        <w:sz w:val="28"/>
      </w:rPr>
      <w:t>Consejo de la Magistratura de la Ciudad Autónoma de Buenos Aires</w:t>
    </w:r>
  </w:p>
  <w:p w:rsidR="004B0E42" w:rsidRDefault="004B0E4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A3962"/>
    <w:multiLevelType w:val="hybridMultilevel"/>
    <w:tmpl w:val="5B704DE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783"/>
    <w:rsid w:val="00006DAB"/>
    <w:rsid w:val="0001469F"/>
    <w:rsid w:val="00034B6A"/>
    <w:rsid w:val="00034BFB"/>
    <w:rsid w:val="00036535"/>
    <w:rsid w:val="00047783"/>
    <w:rsid w:val="000502C9"/>
    <w:rsid w:val="00061B5C"/>
    <w:rsid w:val="00071948"/>
    <w:rsid w:val="00093A9B"/>
    <w:rsid w:val="00095858"/>
    <w:rsid w:val="00096081"/>
    <w:rsid w:val="00097E95"/>
    <w:rsid w:val="000A3998"/>
    <w:rsid w:val="000B3569"/>
    <w:rsid w:val="000C468F"/>
    <w:rsid w:val="000E3773"/>
    <w:rsid w:val="000F14CC"/>
    <w:rsid w:val="000F3915"/>
    <w:rsid w:val="000F7801"/>
    <w:rsid w:val="00101F75"/>
    <w:rsid w:val="00110BF0"/>
    <w:rsid w:val="00113DD5"/>
    <w:rsid w:val="0011674E"/>
    <w:rsid w:val="00127A74"/>
    <w:rsid w:val="00131F0B"/>
    <w:rsid w:val="0013660B"/>
    <w:rsid w:val="00142598"/>
    <w:rsid w:val="00155AC4"/>
    <w:rsid w:val="001601BE"/>
    <w:rsid w:val="00183B5C"/>
    <w:rsid w:val="0018449F"/>
    <w:rsid w:val="001903E8"/>
    <w:rsid w:val="0019050D"/>
    <w:rsid w:val="001C124D"/>
    <w:rsid w:val="001C4610"/>
    <w:rsid w:val="001C572C"/>
    <w:rsid w:val="001C6531"/>
    <w:rsid w:val="001D3AB7"/>
    <w:rsid w:val="001D6753"/>
    <w:rsid w:val="001F66FB"/>
    <w:rsid w:val="0021589E"/>
    <w:rsid w:val="00216D98"/>
    <w:rsid w:val="0022148D"/>
    <w:rsid w:val="00221E01"/>
    <w:rsid w:val="00224B1E"/>
    <w:rsid w:val="002508B1"/>
    <w:rsid w:val="002515B1"/>
    <w:rsid w:val="002518DB"/>
    <w:rsid w:val="00253287"/>
    <w:rsid w:val="00264BD5"/>
    <w:rsid w:val="0027047F"/>
    <w:rsid w:val="00273F63"/>
    <w:rsid w:val="00275577"/>
    <w:rsid w:val="00276F9C"/>
    <w:rsid w:val="002826DC"/>
    <w:rsid w:val="00297396"/>
    <w:rsid w:val="002B0158"/>
    <w:rsid w:val="002C0B64"/>
    <w:rsid w:val="002D0258"/>
    <w:rsid w:val="002D2996"/>
    <w:rsid w:val="002D527F"/>
    <w:rsid w:val="0030591E"/>
    <w:rsid w:val="0030731D"/>
    <w:rsid w:val="00320337"/>
    <w:rsid w:val="003379FD"/>
    <w:rsid w:val="00344A15"/>
    <w:rsid w:val="00345818"/>
    <w:rsid w:val="0035611A"/>
    <w:rsid w:val="00363CD0"/>
    <w:rsid w:val="003A34A6"/>
    <w:rsid w:val="003A4E27"/>
    <w:rsid w:val="003C4F53"/>
    <w:rsid w:val="003D0A50"/>
    <w:rsid w:val="003D0D1B"/>
    <w:rsid w:val="003E53F9"/>
    <w:rsid w:val="003F3A5C"/>
    <w:rsid w:val="0040216D"/>
    <w:rsid w:val="00420040"/>
    <w:rsid w:val="00422C71"/>
    <w:rsid w:val="00423C2C"/>
    <w:rsid w:val="00436BF1"/>
    <w:rsid w:val="00440ACE"/>
    <w:rsid w:val="004512A9"/>
    <w:rsid w:val="00454C6B"/>
    <w:rsid w:val="0046567D"/>
    <w:rsid w:val="00470DB8"/>
    <w:rsid w:val="00472868"/>
    <w:rsid w:val="00476E6B"/>
    <w:rsid w:val="00486AC7"/>
    <w:rsid w:val="004909E3"/>
    <w:rsid w:val="00492DA6"/>
    <w:rsid w:val="004A416D"/>
    <w:rsid w:val="004A43E6"/>
    <w:rsid w:val="004B0E42"/>
    <w:rsid w:val="004B20A6"/>
    <w:rsid w:val="004D5A1A"/>
    <w:rsid w:val="004F7624"/>
    <w:rsid w:val="00505211"/>
    <w:rsid w:val="00510F2F"/>
    <w:rsid w:val="00513B4C"/>
    <w:rsid w:val="0053157D"/>
    <w:rsid w:val="00540C75"/>
    <w:rsid w:val="00544E8A"/>
    <w:rsid w:val="00545946"/>
    <w:rsid w:val="005672D3"/>
    <w:rsid w:val="00581D9B"/>
    <w:rsid w:val="005903C6"/>
    <w:rsid w:val="005C0CE3"/>
    <w:rsid w:val="005D3277"/>
    <w:rsid w:val="005D60CF"/>
    <w:rsid w:val="005D63B9"/>
    <w:rsid w:val="005E7B3F"/>
    <w:rsid w:val="005F004F"/>
    <w:rsid w:val="005F1211"/>
    <w:rsid w:val="005F6AC8"/>
    <w:rsid w:val="005F76F0"/>
    <w:rsid w:val="006176D4"/>
    <w:rsid w:val="00621235"/>
    <w:rsid w:val="0062336C"/>
    <w:rsid w:val="00635A88"/>
    <w:rsid w:val="00643B94"/>
    <w:rsid w:val="00674121"/>
    <w:rsid w:val="006758D3"/>
    <w:rsid w:val="00675F2C"/>
    <w:rsid w:val="00687BBD"/>
    <w:rsid w:val="006A4F19"/>
    <w:rsid w:val="006B2CDE"/>
    <w:rsid w:val="006C7C87"/>
    <w:rsid w:val="006D3A5C"/>
    <w:rsid w:val="006D600F"/>
    <w:rsid w:val="006E6F10"/>
    <w:rsid w:val="00712344"/>
    <w:rsid w:val="00720414"/>
    <w:rsid w:val="00726975"/>
    <w:rsid w:val="0073305B"/>
    <w:rsid w:val="00751590"/>
    <w:rsid w:val="00755685"/>
    <w:rsid w:val="007566E6"/>
    <w:rsid w:val="00756C09"/>
    <w:rsid w:val="0076698F"/>
    <w:rsid w:val="0077055E"/>
    <w:rsid w:val="00777A36"/>
    <w:rsid w:val="00785B29"/>
    <w:rsid w:val="00792159"/>
    <w:rsid w:val="00793B5D"/>
    <w:rsid w:val="007A68B8"/>
    <w:rsid w:val="007B7B98"/>
    <w:rsid w:val="007C4170"/>
    <w:rsid w:val="007C76E8"/>
    <w:rsid w:val="007D27ED"/>
    <w:rsid w:val="007E391D"/>
    <w:rsid w:val="007F0214"/>
    <w:rsid w:val="007F20DD"/>
    <w:rsid w:val="007F300E"/>
    <w:rsid w:val="00803B70"/>
    <w:rsid w:val="0082170C"/>
    <w:rsid w:val="0082527E"/>
    <w:rsid w:val="00833C73"/>
    <w:rsid w:val="008416FC"/>
    <w:rsid w:val="008436B5"/>
    <w:rsid w:val="008540D2"/>
    <w:rsid w:val="00874B32"/>
    <w:rsid w:val="0087502B"/>
    <w:rsid w:val="00875162"/>
    <w:rsid w:val="00886624"/>
    <w:rsid w:val="008966B6"/>
    <w:rsid w:val="00897A63"/>
    <w:rsid w:val="008A0B01"/>
    <w:rsid w:val="008A6BFF"/>
    <w:rsid w:val="008B0371"/>
    <w:rsid w:val="008B2583"/>
    <w:rsid w:val="008B3439"/>
    <w:rsid w:val="008C04BB"/>
    <w:rsid w:val="008D6A58"/>
    <w:rsid w:val="008E355C"/>
    <w:rsid w:val="008E6D6B"/>
    <w:rsid w:val="008F72F0"/>
    <w:rsid w:val="00904780"/>
    <w:rsid w:val="0091229F"/>
    <w:rsid w:val="00923971"/>
    <w:rsid w:val="0093292D"/>
    <w:rsid w:val="00951B3C"/>
    <w:rsid w:val="00955BBC"/>
    <w:rsid w:val="00956E0C"/>
    <w:rsid w:val="00962DC5"/>
    <w:rsid w:val="0097373B"/>
    <w:rsid w:val="00983AA4"/>
    <w:rsid w:val="00984552"/>
    <w:rsid w:val="009950EF"/>
    <w:rsid w:val="00996CFD"/>
    <w:rsid w:val="0099754E"/>
    <w:rsid w:val="0099792E"/>
    <w:rsid w:val="009A75C3"/>
    <w:rsid w:val="009B5FD5"/>
    <w:rsid w:val="009C1942"/>
    <w:rsid w:val="009C6B77"/>
    <w:rsid w:val="009E24FB"/>
    <w:rsid w:val="009F1760"/>
    <w:rsid w:val="009F2075"/>
    <w:rsid w:val="009F3C7E"/>
    <w:rsid w:val="00A02B9A"/>
    <w:rsid w:val="00A10BB8"/>
    <w:rsid w:val="00A10F38"/>
    <w:rsid w:val="00A2114B"/>
    <w:rsid w:val="00A27EED"/>
    <w:rsid w:val="00A32C31"/>
    <w:rsid w:val="00A465E4"/>
    <w:rsid w:val="00A532E6"/>
    <w:rsid w:val="00A56E26"/>
    <w:rsid w:val="00A66CF2"/>
    <w:rsid w:val="00A75E1A"/>
    <w:rsid w:val="00A84337"/>
    <w:rsid w:val="00A867F1"/>
    <w:rsid w:val="00AA05A3"/>
    <w:rsid w:val="00AC2825"/>
    <w:rsid w:val="00AC62CD"/>
    <w:rsid w:val="00AC748B"/>
    <w:rsid w:val="00AD723A"/>
    <w:rsid w:val="00AE5619"/>
    <w:rsid w:val="00AE6AA7"/>
    <w:rsid w:val="00AF4F78"/>
    <w:rsid w:val="00B02ECF"/>
    <w:rsid w:val="00B073EC"/>
    <w:rsid w:val="00B077BE"/>
    <w:rsid w:val="00B10AA3"/>
    <w:rsid w:val="00B23547"/>
    <w:rsid w:val="00B32098"/>
    <w:rsid w:val="00B37131"/>
    <w:rsid w:val="00B537AA"/>
    <w:rsid w:val="00B606D4"/>
    <w:rsid w:val="00B616C2"/>
    <w:rsid w:val="00B61ED6"/>
    <w:rsid w:val="00B709F0"/>
    <w:rsid w:val="00B8055C"/>
    <w:rsid w:val="00B87818"/>
    <w:rsid w:val="00B90A9C"/>
    <w:rsid w:val="00B91490"/>
    <w:rsid w:val="00BA3D91"/>
    <w:rsid w:val="00BA4F2A"/>
    <w:rsid w:val="00BC1CC7"/>
    <w:rsid w:val="00BC421B"/>
    <w:rsid w:val="00BF1B8A"/>
    <w:rsid w:val="00BF3371"/>
    <w:rsid w:val="00BF42E5"/>
    <w:rsid w:val="00C11628"/>
    <w:rsid w:val="00C16340"/>
    <w:rsid w:val="00C26266"/>
    <w:rsid w:val="00C32E2D"/>
    <w:rsid w:val="00C33971"/>
    <w:rsid w:val="00C33C5F"/>
    <w:rsid w:val="00C401AA"/>
    <w:rsid w:val="00C41844"/>
    <w:rsid w:val="00C5785A"/>
    <w:rsid w:val="00C633F9"/>
    <w:rsid w:val="00C73F27"/>
    <w:rsid w:val="00C85437"/>
    <w:rsid w:val="00C95720"/>
    <w:rsid w:val="00CC6F93"/>
    <w:rsid w:val="00CD15AD"/>
    <w:rsid w:val="00CF21C7"/>
    <w:rsid w:val="00CF3049"/>
    <w:rsid w:val="00D07946"/>
    <w:rsid w:val="00D14ADF"/>
    <w:rsid w:val="00D1769A"/>
    <w:rsid w:val="00D223B8"/>
    <w:rsid w:val="00D505F2"/>
    <w:rsid w:val="00D513EF"/>
    <w:rsid w:val="00D91C72"/>
    <w:rsid w:val="00D94008"/>
    <w:rsid w:val="00D957F2"/>
    <w:rsid w:val="00DA50D4"/>
    <w:rsid w:val="00DA61CA"/>
    <w:rsid w:val="00DA7010"/>
    <w:rsid w:val="00DB2558"/>
    <w:rsid w:val="00DB4933"/>
    <w:rsid w:val="00DC0E33"/>
    <w:rsid w:val="00DC77BD"/>
    <w:rsid w:val="00DD2FED"/>
    <w:rsid w:val="00DE4B78"/>
    <w:rsid w:val="00DE53AF"/>
    <w:rsid w:val="00DE7121"/>
    <w:rsid w:val="00E03E21"/>
    <w:rsid w:val="00E0783B"/>
    <w:rsid w:val="00E260D3"/>
    <w:rsid w:val="00E474FA"/>
    <w:rsid w:val="00E86D19"/>
    <w:rsid w:val="00E96796"/>
    <w:rsid w:val="00E967AC"/>
    <w:rsid w:val="00EA50B8"/>
    <w:rsid w:val="00EA7724"/>
    <w:rsid w:val="00EB1D46"/>
    <w:rsid w:val="00EC2341"/>
    <w:rsid w:val="00EC3DDE"/>
    <w:rsid w:val="00EE334B"/>
    <w:rsid w:val="00EE3543"/>
    <w:rsid w:val="00F079BB"/>
    <w:rsid w:val="00F154D2"/>
    <w:rsid w:val="00F16E39"/>
    <w:rsid w:val="00F26C5E"/>
    <w:rsid w:val="00F30DFF"/>
    <w:rsid w:val="00F33D6E"/>
    <w:rsid w:val="00F44B4E"/>
    <w:rsid w:val="00F47E77"/>
    <w:rsid w:val="00F51074"/>
    <w:rsid w:val="00F52F51"/>
    <w:rsid w:val="00F66BEC"/>
    <w:rsid w:val="00F676C9"/>
    <w:rsid w:val="00F72CDC"/>
    <w:rsid w:val="00F751DD"/>
    <w:rsid w:val="00F9604A"/>
    <w:rsid w:val="00FA2D72"/>
    <w:rsid w:val="00FA72C4"/>
    <w:rsid w:val="00FD5821"/>
    <w:rsid w:val="00FE43BC"/>
    <w:rsid w:val="00FF3CFF"/>
    <w:rsid w:val="00FF425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783"/>
    <w:pPr>
      <w:spacing w:after="0" w:line="240" w:lineRule="auto"/>
    </w:pPr>
    <w:rPr>
      <w:rFonts w:ascii="Times New Roman" w:eastAsia="Times New Roman" w:hAnsi="Times New Roman" w:cs="Times New Roman"/>
      <w:sz w:val="24"/>
      <w:szCs w:val="24"/>
      <w:lang w:val="es-ES" w:eastAsia="es-ES"/>
    </w:rPr>
  </w:style>
  <w:style w:type="paragraph" w:styleId="Ttulo5">
    <w:name w:val="heading 5"/>
    <w:basedOn w:val="Normal"/>
    <w:next w:val="Normal"/>
    <w:link w:val="Ttulo5Car"/>
    <w:qFormat/>
    <w:rsid w:val="00047783"/>
    <w:pPr>
      <w:keepNext/>
      <w:jc w:val="both"/>
      <w:outlineLvl w:val="4"/>
    </w:pPr>
    <w:rPr>
      <w:b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047783"/>
    <w:rPr>
      <w:rFonts w:ascii="Times New Roman" w:eastAsia="Times New Roman" w:hAnsi="Times New Roman" w:cs="Times New Roman"/>
      <w:bCs/>
      <w:sz w:val="24"/>
      <w:szCs w:val="20"/>
      <w:lang w:val="es-ES" w:eastAsia="es-ES"/>
    </w:rPr>
  </w:style>
  <w:style w:type="paragraph" w:styleId="NormalWeb">
    <w:name w:val="Normal (Web)"/>
    <w:basedOn w:val="Normal"/>
    <w:rsid w:val="00047783"/>
    <w:pPr>
      <w:spacing w:before="100" w:beforeAutospacing="1" w:after="100" w:afterAutospacing="1"/>
    </w:pPr>
    <w:rPr>
      <w:color w:val="000000"/>
    </w:rPr>
  </w:style>
  <w:style w:type="paragraph" w:styleId="Textoindependiente">
    <w:name w:val="Body Text"/>
    <w:basedOn w:val="Normal"/>
    <w:link w:val="TextoindependienteCar"/>
    <w:rsid w:val="00047783"/>
    <w:pPr>
      <w:jc w:val="both"/>
    </w:pPr>
    <w:rPr>
      <w:szCs w:val="20"/>
    </w:rPr>
  </w:style>
  <w:style w:type="character" w:customStyle="1" w:styleId="TextoindependienteCar">
    <w:name w:val="Texto independiente Car"/>
    <w:basedOn w:val="Fuentedeprrafopredeter"/>
    <w:link w:val="Textoindependiente"/>
    <w:rsid w:val="00047783"/>
    <w:rPr>
      <w:rFonts w:ascii="Times New Roman" w:eastAsia="Times New Roman" w:hAnsi="Times New Roman" w:cs="Times New Roman"/>
      <w:sz w:val="24"/>
      <w:szCs w:val="20"/>
      <w:lang w:val="es-ES" w:eastAsia="es-ES"/>
    </w:rPr>
  </w:style>
  <w:style w:type="character" w:styleId="Hipervnculo">
    <w:name w:val="Hyperlink"/>
    <w:rsid w:val="00047783"/>
    <w:rPr>
      <w:color w:val="0000EE"/>
      <w:u w:val="single"/>
    </w:rPr>
  </w:style>
  <w:style w:type="paragraph" w:styleId="Piedepgina">
    <w:name w:val="footer"/>
    <w:basedOn w:val="Normal"/>
    <w:link w:val="PiedepginaCar"/>
    <w:uiPriority w:val="99"/>
    <w:rsid w:val="00047783"/>
    <w:pPr>
      <w:tabs>
        <w:tab w:val="center" w:pos="4419"/>
        <w:tab w:val="right" w:pos="8838"/>
      </w:tabs>
    </w:pPr>
  </w:style>
  <w:style w:type="character" w:customStyle="1" w:styleId="PiedepginaCar">
    <w:name w:val="Pie de página Car"/>
    <w:basedOn w:val="Fuentedeprrafopredeter"/>
    <w:link w:val="Piedepgina"/>
    <w:uiPriority w:val="99"/>
    <w:rsid w:val="00047783"/>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476E6B"/>
    <w:pPr>
      <w:tabs>
        <w:tab w:val="center" w:pos="4419"/>
        <w:tab w:val="right" w:pos="8838"/>
      </w:tabs>
    </w:pPr>
  </w:style>
  <w:style w:type="character" w:customStyle="1" w:styleId="EncabezadoCar">
    <w:name w:val="Encabezado Car"/>
    <w:basedOn w:val="Fuentedeprrafopredeter"/>
    <w:link w:val="Encabezado"/>
    <w:uiPriority w:val="99"/>
    <w:rsid w:val="00476E6B"/>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unhideWhenUsed/>
    <w:rsid w:val="00036535"/>
    <w:pPr>
      <w:spacing w:after="120"/>
    </w:pPr>
    <w:rPr>
      <w:sz w:val="16"/>
      <w:szCs w:val="16"/>
    </w:rPr>
  </w:style>
  <w:style w:type="character" w:customStyle="1" w:styleId="Textoindependiente3Car">
    <w:name w:val="Texto independiente 3 Car"/>
    <w:basedOn w:val="Fuentedeprrafopredeter"/>
    <w:link w:val="Textoindependiente3"/>
    <w:uiPriority w:val="99"/>
    <w:rsid w:val="00036535"/>
    <w:rPr>
      <w:rFonts w:ascii="Times New Roman" w:eastAsia="Times New Roman" w:hAnsi="Times New Roman" w:cs="Times New Roman"/>
      <w:sz w:val="16"/>
      <w:szCs w:val="16"/>
      <w:lang w:val="es-ES" w:eastAsia="es-ES"/>
    </w:rPr>
  </w:style>
  <w:style w:type="paragraph" w:styleId="Textodeglobo">
    <w:name w:val="Balloon Text"/>
    <w:basedOn w:val="Normal"/>
    <w:link w:val="TextodegloboCar"/>
    <w:uiPriority w:val="99"/>
    <w:semiHidden/>
    <w:unhideWhenUsed/>
    <w:rsid w:val="003D0D1B"/>
    <w:rPr>
      <w:rFonts w:ascii="Tahoma" w:hAnsi="Tahoma" w:cs="Tahoma"/>
      <w:sz w:val="16"/>
      <w:szCs w:val="16"/>
    </w:rPr>
  </w:style>
  <w:style w:type="character" w:customStyle="1" w:styleId="TextodegloboCar">
    <w:name w:val="Texto de globo Car"/>
    <w:basedOn w:val="Fuentedeprrafopredeter"/>
    <w:link w:val="Textodeglobo"/>
    <w:uiPriority w:val="99"/>
    <w:semiHidden/>
    <w:rsid w:val="003D0D1B"/>
    <w:rPr>
      <w:rFonts w:ascii="Tahoma" w:eastAsia="Times New Roman" w:hAnsi="Tahoma" w:cs="Tahoma"/>
      <w:sz w:val="16"/>
      <w:szCs w:val="16"/>
      <w:lang w:val="es-ES" w:eastAsia="es-ES"/>
    </w:rPr>
  </w:style>
  <w:style w:type="paragraph" w:styleId="Textonotaalfinal">
    <w:name w:val="endnote text"/>
    <w:basedOn w:val="Normal"/>
    <w:link w:val="TextonotaalfinalCar"/>
    <w:uiPriority w:val="99"/>
    <w:semiHidden/>
    <w:unhideWhenUsed/>
    <w:rsid w:val="00751590"/>
    <w:rPr>
      <w:sz w:val="20"/>
      <w:szCs w:val="20"/>
    </w:rPr>
  </w:style>
  <w:style w:type="character" w:customStyle="1" w:styleId="TextonotaalfinalCar">
    <w:name w:val="Texto nota al final Car"/>
    <w:basedOn w:val="Fuentedeprrafopredeter"/>
    <w:link w:val="Textonotaalfinal"/>
    <w:uiPriority w:val="99"/>
    <w:semiHidden/>
    <w:rsid w:val="00751590"/>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75159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783"/>
    <w:pPr>
      <w:spacing w:after="0" w:line="240" w:lineRule="auto"/>
    </w:pPr>
    <w:rPr>
      <w:rFonts w:ascii="Times New Roman" w:eastAsia="Times New Roman" w:hAnsi="Times New Roman" w:cs="Times New Roman"/>
      <w:sz w:val="24"/>
      <w:szCs w:val="24"/>
      <w:lang w:val="es-ES" w:eastAsia="es-ES"/>
    </w:rPr>
  </w:style>
  <w:style w:type="paragraph" w:styleId="Ttulo5">
    <w:name w:val="heading 5"/>
    <w:basedOn w:val="Normal"/>
    <w:next w:val="Normal"/>
    <w:link w:val="Ttulo5Car"/>
    <w:qFormat/>
    <w:rsid w:val="00047783"/>
    <w:pPr>
      <w:keepNext/>
      <w:jc w:val="both"/>
      <w:outlineLvl w:val="4"/>
    </w:pPr>
    <w:rPr>
      <w:b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047783"/>
    <w:rPr>
      <w:rFonts w:ascii="Times New Roman" w:eastAsia="Times New Roman" w:hAnsi="Times New Roman" w:cs="Times New Roman"/>
      <w:bCs/>
      <w:sz w:val="24"/>
      <w:szCs w:val="20"/>
      <w:lang w:val="es-ES" w:eastAsia="es-ES"/>
    </w:rPr>
  </w:style>
  <w:style w:type="paragraph" w:styleId="NormalWeb">
    <w:name w:val="Normal (Web)"/>
    <w:basedOn w:val="Normal"/>
    <w:rsid w:val="00047783"/>
    <w:pPr>
      <w:spacing w:before="100" w:beforeAutospacing="1" w:after="100" w:afterAutospacing="1"/>
    </w:pPr>
    <w:rPr>
      <w:color w:val="000000"/>
    </w:rPr>
  </w:style>
  <w:style w:type="paragraph" w:styleId="Textoindependiente">
    <w:name w:val="Body Text"/>
    <w:basedOn w:val="Normal"/>
    <w:link w:val="TextoindependienteCar"/>
    <w:rsid w:val="00047783"/>
    <w:pPr>
      <w:jc w:val="both"/>
    </w:pPr>
    <w:rPr>
      <w:szCs w:val="20"/>
    </w:rPr>
  </w:style>
  <w:style w:type="character" w:customStyle="1" w:styleId="TextoindependienteCar">
    <w:name w:val="Texto independiente Car"/>
    <w:basedOn w:val="Fuentedeprrafopredeter"/>
    <w:link w:val="Textoindependiente"/>
    <w:rsid w:val="00047783"/>
    <w:rPr>
      <w:rFonts w:ascii="Times New Roman" w:eastAsia="Times New Roman" w:hAnsi="Times New Roman" w:cs="Times New Roman"/>
      <w:sz w:val="24"/>
      <w:szCs w:val="20"/>
      <w:lang w:val="es-ES" w:eastAsia="es-ES"/>
    </w:rPr>
  </w:style>
  <w:style w:type="character" w:styleId="Hipervnculo">
    <w:name w:val="Hyperlink"/>
    <w:rsid w:val="00047783"/>
    <w:rPr>
      <w:color w:val="0000EE"/>
      <w:u w:val="single"/>
    </w:rPr>
  </w:style>
  <w:style w:type="paragraph" w:styleId="Piedepgina">
    <w:name w:val="footer"/>
    <w:basedOn w:val="Normal"/>
    <w:link w:val="PiedepginaCar"/>
    <w:uiPriority w:val="99"/>
    <w:rsid w:val="00047783"/>
    <w:pPr>
      <w:tabs>
        <w:tab w:val="center" w:pos="4419"/>
        <w:tab w:val="right" w:pos="8838"/>
      </w:tabs>
    </w:pPr>
  </w:style>
  <w:style w:type="character" w:customStyle="1" w:styleId="PiedepginaCar">
    <w:name w:val="Pie de página Car"/>
    <w:basedOn w:val="Fuentedeprrafopredeter"/>
    <w:link w:val="Piedepgina"/>
    <w:uiPriority w:val="99"/>
    <w:rsid w:val="00047783"/>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476E6B"/>
    <w:pPr>
      <w:tabs>
        <w:tab w:val="center" w:pos="4419"/>
        <w:tab w:val="right" w:pos="8838"/>
      </w:tabs>
    </w:pPr>
  </w:style>
  <w:style w:type="character" w:customStyle="1" w:styleId="EncabezadoCar">
    <w:name w:val="Encabezado Car"/>
    <w:basedOn w:val="Fuentedeprrafopredeter"/>
    <w:link w:val="Encabezado"/>
    <w:uiPriority w:val="99"/>
    <w:rsid w:val="00476E6B"/>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unhideWhenUsed/>
    <w:rsid w:val="00036535"/>
    <w:pPr>
      <w:spacing w:after="120"/>
    </w:pPr>
    <w:rPr>
      <w:sz w:val="16"/>
      <w:szCs w:val="16"/>
    </w:rPr>
  </w:style>
  <w:style w:type="character" w:customStyle="1" w:styleId="Textoindependiente3Car">
    <w:name w:val="Texto independiente 3 Car"/>
    <w:basedOn w:val="Fuentedeprrafopredeter"/>
    <w:link w:val="Textoindependiente3"/>
    <w:uiPriority w:val="99"/>
    <w:rsid w:val="00036535"/>
    <w:rPr>
      <w:rFonts w:ascii="Times New Roman" w:eastAsia="Times New Roman" w:hAnsi="Times New Roman" w:cs="Times New Roman"/>
      <w:sz w:val="16"/>
      <w:szCs w:val="16"/>
      <w:lang w:val="es-ES" w:eastAsia="es-ES"/>
    </w:rPr>
  </w:style>
  <w:style w:type="paragraph" w:styleId="Textodeglobo">
    <w:name w:val="Balloon Text"/>
    <w:basedOn w:val="Normal"/>
    <w:link w:val="TextodegloboCar"/>
    <w:uiPriority w:val="99"/>
    <w:semiHidden/>
    <w:unhideWhenUsed/>
    <w:rsid w:val="003D0D1B"/>
    <w:rPr>
      <w:rFonts w:ascii="Tahoma" w:hAnsi="Tahoma" w:cs="Tahoma"/>
      <w:sz w:val="16"/>
      <w:szCs w:val="16"/>
    </w:rPr>
  </w:style>
  <w:style w:type="character" w:customStyle="1" w:styleId="TextodegloboCar">
    <w:name w:val="Texto de globo Car"/>
    <w:basedOn w:val="Fuentedeprrafopredeter"/>
    <w:link w:val="Textodeglobo"/>
    <w:uiPriority w:val="99"/>
    <w:semiHidden/>
    <w:rsid w:val="003D0D1B"/>
    <w:rPr>
      <w:rFonts w:ascii="Tahoma" w:eastAsia="Times New Roman" w:hAnsi="Tahoma" w:cs="Tahoma"/>
      <w:sz w:val="16"/>
      <w:szCs w:val="16"/>
      <w:lang w:val="es-ES" w:eastAsia="es-ES"/>
    </w:rPr>
  </w:style>
  <w:style w:type="paragraph" w:styleId="Textonotaalfinal">
    <w:name w:val="endnote text"/>
    <w:basedOn w:val="Normal"/>
    <w:link w:val="TextonotaalfinalCar"/>
    <w:uiPriority w:val="99"/>
    <w:semiHidden/>
    <w:unhideWhenUsed/>
    <w:rsid w:val="00751590"/>
    <w:rPr>
      <w:sz w:val="20"/>
      <w:szCs w:val="20"/>
    </w:rPr>
  </w:style>
  <w:style w:type="character" w:customStyle="1" w:styleId="TextonotaalfinalCar">
    <w:name w:val="Texto nota al final Car"/>
    <w:basedOn w:val="Fuentedeprrafopredeter"/>
    <w:link w:val="Textonotaalfinal"/>
    <w:uiPriority w:val="99"/>
    <w:semiHidden/>
    <w:rsid w:val="00751590"/>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7515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3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marinservice@marinservice.com.ar" TargetMode="External"/><Relationship Id="rId4" Type="http://schemas.microsoft.com/office/2007/relationships/stylesWithEffects" Target="stylesWithEffects.xml"/><Relationship Id="rId9" Type="http://schemas.openxmlformats.org/officeDocument/2006/relationships/hyperlink" Target="mailto:administracion@mantenimientocassi.com.a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5A17C-2C8F-47EC-A177-465637365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1846</Words>
  <Characters>10159</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DIT</Company>
  <LinksUpToDate>false</LinksUpToDate>
  <CharactersWithSpaces>11982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fcarballo</dc:creator>
  <cp:lastModifiedBy>hlabate</cp:lastModifiedBy>
  <cp:revision>6</cp:revision>
  <cp:lastPrinted>2014-12-23T17:32:00Z</cp:lastPrinted>
  <dcterms:created xsi:type="dcterms:W3CDTF">2014-12-18T19:20:00Z</dcterms:created>
  <dcterms:modified xsi:type="dcterms:W3CDTF">2014-12-23T17:32:00Z</dcterms:modified>
</cp:coreProperties>
</file>