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CD" w:rsidRDefault="003917CD" w:rsidP="003965B0">
      <w:pPr>
        <w:outlineLvl w:val="0"/>
        <w:rPr>
          <w:b/>
          <w:bCs/>
          <w:sz w:val="24"/>
          <w:u w:val="single"/>
        </w:rPr>
      </w:pPr>
      <w:bookmarkStart w:id="0" w:name="_GoBack"/>
      <w:bookmarkEnd w:id="0"/>
    </w:p>
    <w:p w:rsidR="003965B0" w:rsidRPr="003965B0" w:rsidRDefault="003965B0" w:rsidP="003965B0">
      <w:pPr>
        <w:outlineLvl w:val="0"/>
        <w:rPr>
          <w:sz w:val="24"/>
          <w:szCs w:val="24"/>
        </w:rPr>
      </w:pPr>
    </w:p>
    <w:p w:rsidR="003917CD" w:rsidRPr="00F80F03" w:rsidRDefault="003917CD" w:rsidP="003917CD">
      <w:pPr>
        <w:pStyle w:val="Ttulo8"/>
        <w:rPr>
          <w:szCs w:val="24"/>
          <w:highlight w:val="green"/>
        </w:rPr>
      </w:pPr>
    </w:p>
    <w:p w:rsidR="003917CD" w:rsidRPr="00F80F03" w:rsidRDefault="003917CD" w:rsidP="003917CD">
      <w:pPr>
        <w:rPr>
          <w:sz w:val="24"/>
          <w:szCs w:val="24"/>
          <w:highlight w:val="green"/>
        </w:rPr>
      </w:pPr>
    </w:p>
    <w:p w:rsidR="003917CD" w:rsidRPr="00F80F03" w:rsidRDefault="003917CD" w:rsidP="003917CD">
      <w:pPr>
        <w:pStyle w:val="Textoindependiente"/>
        <w:jc w:val="center"/>
        <w:rPr>
          <w:szCs w:val="24"/>
        </w:rPr>
      </w:pPr>
      <w:r w:rsidRPr="00F80F03">
        <w:rPr>
          <w:szCs w:val="24"/>
        </w:rPr>
        <w:t xml:space="preserve">                                                      </w:t>
      </w:r>
      <w:r>
        <w:rPr>
          <w:szCs w:val="24"/>
        </w:rPr>
        <w:t xml:space="preserve">        Buenos Aires, </w:t>
      </w:r>
      <w:r w:rsidR="00CD6683">
        <w:rPr>
          <w:szCs w:val="24"/>
        </w:rPr>
        <w:t>20</w:t>
      </w:r>
      <w:r>
        <w:rPr>
          <w:szCs w:val="24"/>
        </w:rPr>
        <w:t xml:space="preserve"> </w:t>
      </w:r>
      <w:r w:rsidRPr="00F80F03">
        <w:rPr>
          <w:szCs w:val="24"/>
        </w:rPr>
        <w:t xml:space="preserve">de </w:t>
      </w:r>
      <w:r>
        <w:rPr>
          <w:szCs w:val="24"/>
        </w:rPr>
        <w:t>noviembre</w:t>
      </w:r>
      <w:r w:rsidRPr="00F80F03">
        <w:rPr>
          <w:szCs w:val="24"/>
        </w:rPr>
        <w:t xml:space="preserve"> de 201</w:t>
      </w:r>
      <w:r>
        <w:rPr>
          <w:szCs w:val="24"/>
        </w:rPr>
        <w:t>3</w:t>
      </w:r>
    </w:p>
    <w:p w:rsidR="003917CD" w:rsidRPr="00F80F03" w:rsidRDefault="003917CD" w:rsidP="003917CD">
      <w:pPr>
        <w:pStyle w:val="Textoindependiente"/>
        <w:rPr>
          <w:b/>
          <w:bCs/>
          <w:szCs w:val="24"/>
          <w:highlight w:val="green"/>
        </w:rPr>
      </w:pPr>
    </w:p>
    <w:p w:rsidR="003917CD" w:rsidRPr="00F80F03" w:rsidRDefault="003917CD" w:rsidP="003917CD">
      <w:pPr>
        <w:pStyle w:val="Textoindependiente"/>
        <w:rPr>
          <w:b/>
          <w:bCs/>
          <w:szCs w:val="24"/>
          <w:highlight w:val="green"/>
        </w:rPr>
      </w:pPr>
    </w:p>
    <w:p w:rsidR="003917CD" w:rsidRPr="00F80F03" w:rsidRDefault="003917CD" w:rsidP="003917CD">
      <w:pPr>
        <w:ind w:left="705" w:hanging="705"/>
        <w:jc w:val="both"/>
        <w:rPr>
          <w:b/>
          <w:bCs/>
          <w:sz w:val="24"/>
          <w:szCs w:val="24"/>
        </w:rPr>
      </w:pPr>
      <w:r w:rsidRPr="00F80F03">
        <w:rPr>
          <w:b/>
          <w:bCs/>
          <w:sz w:val="24"/>
          <w:szCs w:val="24"/>
          <w:u w:val="single"/>
          <w:lang w:val="es-ES_tradnl"/>
        </w:rPr>
        <w:t>Ref.:</w:t>
      </w:r>
      <w:r w:rsidRPr="00F80F03">
        <w:rPr>
          <w:b/>
          <w:bCs/>
          <w:sz w:val="24"/>
          <w:szCs w:val="24"/>
          <w:lang w:val="es-ES_tradnl"/>
        </w:rPr>
        <w:tab/>
        <w:t xml:space="preserve">Exp. CM. Nº </w:t>
      </w:r>
      <w:r w:rsidRPr="00F80F03">
        <w:rPr>
          <w:b/>
          <w:bCs/>
          <w:sz w:val="24"/>
          <w:szCs w:val="24"/>
        </w:rPr>
        <w:t>DCC</w:t>
      </w:r>
      <w:r>
        <w:rPr>
          <w:b/>
          <w:bCs/>
          <w:sz w:val="24"/>
          <w:szCs w:val="24"/>
        </w:rPr>
        <w:t>-105</w:t>
      </w:r>
      <w:r w:rsidRPr="00F80F03">
        <w:rPr>
          <w:b/>
          <w:bCs/>
          <w:sz w:val="24"/>
          <w:szCs w:val="24"/>
        </w:rPr>
        <w:t>/1</w:t>
      </w:r>
      <w:r>
        <w:rPr>
          <w:b/>
          <w:bCs/>
          <w:sz w:val="24"/>
          <w:szCs w:val="24"/>
        </w:rPr>
        <w:t>3-0 Licitación Pública Nº8</w:t>
      </w:r>
      <w:r w:rsidRPr="00F80F03">
        <w:rPr>
          <w:b/>
          <w:bCs/>
          <w:sz w:val="24"/>
          <w:szCs w:val="24"/>
        </w:rPr>
        <w:t>/</w:t>
      </w:r>
      <w:r>
        <w:rPr>
          <w:b/>
          <w:bCs/>
          <w:sz w:val="24"/>
          <w:szCs w:val="24"/>
        </w:rPr>
        <w:t>13 s/contratación del servicio de mantenimiento de equipos de aire acondicionado del Poder Judicial de la CABA</w:t>
      </w:r>
    </w:p>
    <w:p w:rsidR="003917CD" w:rsidRPr="00F80F03" w:rsidRDefault="003917CD" w:rsidP="003917CD">
      <w:pPr>
        <w:ind w:left="705" w:hanging="705"/>
        <w:jc w:val="both"/>
        <w:rPr>
          <w:sz w:val="24"/>
          <w:szCs w:val="24"/>
          <w:highlight w:val="green"/>
        </w:rPr>
      </w:pPr>
    </w:p>
    <w:p w:rsidR="003917CD" w:rsidRPr="00F80F03" w:rsidRDefault="003917CD" w:rsidP="003917CD">
      <w:pPr>
        <w:jc w:val="both"/>
        <w:rPr>
          <w:sz w:val="24"/>
          <w:szCs w:val="24"/>
        </w:rPr>
      </w:pPr>
    </w:p>
    <w:p w:rsidR="003917CD" w:rsidRDefault="003917CD" w:rsidP="003917CD">
      <w:pPr>
        <w:jc w:val="both"/>
        <w:rPr>
          <w:sz w:val="24"/>
          <w:szCs w:val="24"/>
        </w:rPr>
      </w:pPr>
      <w:r w:rsidRPr="00F80F03">
        <w:rPr>
          <w:sz w:val="24"/>
          <w:szCs w:val="24"/>
        </w:rPr>
        <w:t xml:space="preserve">Llega este expediente </w:t>
      </w:r>
      <w:r>
        <w:rPr>
          <w:sz w:val="24"/>
          <w:szCs w:val="24"/>
        </w:rPr>
        <w:t>remitido por la Sra. Secretaria Legal y Técnica</w:t>
      </w:r>
      <w:r w:rsidRPr="00F80F03">
        <w:rPr>
          <w:sz w:val="24"/>
          <w:szCs w:val="24"/>
        </w:rPr>
        <w:t xml:space="preserve">, a fin de </w:t>
      </w:r>
      <w:r>
        <w:rPr>
          <w:sz w:val="24"/>
          <w:szCs w:val="24"/>
        </w:rPr>
        <w:t>que esta dependencia tome conocimiento del Dictamen N° 5348/2013 emitido por el área de Asuntos Jurídicos, en el cual sugiere que esta comisión evalúe nuevamente la oferta presentada por la empresa Servicio Técnico S.A.</w:t>
      </w:r>
    </w:p>
    <w:p w:rsidR="003917CD" w:rsidRDefault="003917CD" w:rsidP="003917CD">
      <w:pPr>
        <w:jc w:val="both"/>
        <w:rPr>
          <w:sz w:val="24"/>
          <w:szCs w:val="24"/>
        </w:rPr>
      </w:pPr>
    </w:p>
    <w:p w:rsidR="003917CD" w:rsidRDefault="003917CD" w:rsidP="003917CD">
      <w:pPr>
        <w:jc w:val="both"/>
        <w:rPr>
          <w:sz w:val="24"/>
          <w:szCs w:val="24"/>
        </w:rPr>
      </w:pPr>
      <w:r>
        <w:rPr>
          <w:sz w:val="24"/>
          <w:szCs w:val="24"/>
        </w:rPr>
        <w:t>En dicho dictamen, el área de Asuntos Jurídicos analiza detalladamente las presentaciones efectuadas por las empresas BRV Instalaciones Termomecánicas S.R.L., Consultora Integral de Producción y Servicios S.A. y Servicio Técnico S.A., conteniendo observaciones al Dictamen de Preadjudicaciones.</w:t>
      </w:r>
    </w:p>
    <w:p w:rsidR="003917CD" w:rsidRDefault="003917CD" w:rsidP="003917CD">
      <w:pPr>
        <w:jc w:val="both"/>
        <w:rPr>
          <w:sz w:val="24"/>
          <w:szCs w:val="24"/>
        </w:rPr>
      </w:pPr>
    </w:p>
    <w:p w:rsidR="003917CD" w:rsidRDefault="003917CD" w:rsidP="003917CD">
      <w:pPr>
        <w:jc w:val="both"/>
        <w:rPr>
          <w:sz w:val="24"/>
          <w:szCs w:val="24"/>
        </w:rPr>
      </w:pPr>
      <w:r>
        <w:rPr>
          <w:sz w:val="24"/>
          <w:szCs w:val="24"/>
        </w:rPr>
        <w:t>Concluye que sin perjuicio de que no corresponde considerar a las observaciones presentadas como impugnaciones en los términos previstos normativamente, los planteos hechos por las empresas BRV Instalaciones Termomecánicas S.R.L. y Consultora Integral de Producción y Servicios S.A. no resultan atendibles, en tanto que la declaración de inadmisiblidad dictaminada con respecto a la oferta Servicio Técnico S.A. que tuvo sustento en el informe elaborado por el área técnica correspondería ser revisada por esta Comisión.</w:t>
      </w:r>
    </w:p>
    <w:p w:rsidR="003917CD" w:rsidRDefault="003917CD" w:rsidP="003917CD">
      <w:pPr>
        <w:jc w:val="both"/>
        <w:rPr>
          <w:sz w:val="24"/>
          <w:szCs w:val="24"/>
        </w:rPr>
      </w:pPr>
    </w:p>
    <w:p w:rsidR="003917CD" w:rsidRDefault="003917CD" w:rsidP="003917CD">
      <w:pPr>
        <w:jc w:val="both"/>
        <w:rPr>
          <w:sz w:val="24"/>
          <w:szCs w:val="24"/>
        </w:rPr>
      </w:pPr>
      <w:r>
        <w:rPr>
          <w:sz w:val="24"/>
          <w:szCs w:val="24"/>
        </w:rPr>
        <w:t>Oportunamente el Departamento de Obras Menores emitió informe técnico en el que expresaba que la empresa Servicio Técnico S.A. no había presentado el Plan de Trabajo motivo por el cual no resultaba posible comparar la oferta presentada debiendo por lo tanto ser rechazada.</w:t>
      </w:r>
    </w:p>
    <w:p w:rsidR="003917CD" w:rsidRDefault="003917CD" w:rsidP="003917CD">
      <w:pPr>
        <w:jc w:val="both"/>
        <w:rPr>
          <w:sz w:val="24"/>
          <w:szCs w:val="24"/>
        </w:rPr>
      </w:pPr>
    </w:p>
    <w:p w:rsidR="003917CD" w:rsidRDefault="003917CD" w:rsidP="003917CD">
      <w:pPr>
        <w:jc w:val="both"/>
        <w:rPr>
          <w:sz w:val="24"/>
          <w:szCs w:val="24"/>
        </w:rPr>
      </w:pPr>
      <w:r>
        <w:rPr>
          <w:sz w:val="24"/>
          <w:szCs w:val="24"/>
        </w:rPr>
        <w:t>Mediante actuación N° 15730/13 la oferente acompaña copias de los talones de recepción N° 014551 y 011185 que dan cuenta de la presentación en tiempo y forma de la documentación solicitada.</w:t>
      </w:r>
    </w:p>
    <w:p w:rsidR="003917CD" w:rsidRDefault="003917CD" w:rsidP="003917CD">
      <w:pPr>
        <w:jc w:val="both"/>
        <w:rPr>
          <w:sz w:val="24"/>
          <w:szCs w:val="24"/>
        </w:rPr>
      </w:pPr>
    </w:p>
    <w:p w:rsidR="003917CD" w:rsidRDefault="003917CD" w:rsidP="003917CD">
      <w:pPr>
        <w:jc w:val="both"/>
        <w:rPr>
          <w:sz w:val="24"/>
          <w:szCs w:val="24"/>
        </w:rPr>
      </w:pPr>
      <w:r>
        <w:rPr>
          <w:sz w:val="24"/>
          <w:szCs w:val="24"/>
        </w:rPr>
        <w:t>A fs. 937 el área técnica emite un nuevo dictamen considerando la documentación que había sido extraviada, en el que manifiesta que la oferta presentada por Servicio Técnico S.A. cumple con lo solicitado, quedando subsanado de esta forma uno de los motivos que hubiera provocado el rechazo de la misma.</w:t>
      </w:r>
    </w:p>
    <w:p w:rsidR="003917CD" w:rsidRDefault="003917CD" w:rsidP="003917CD">
      <w:pPr>
        <w:jc w:val="both"/>
        <w:rPr>
          <w:sz w:val="24"/>
          <w:szCs w:val="24"/>
        </w:rPr>
      </w:pPr>
    </w:p>
    <w:p w:rsidR="003917CD" w:rsidRDefault="003917CD" w:rsidP="003917CD">
      <w:pPr>
        <w:jc w:val="both"/>
        <w:rPr>
          <w:sz w:val="24"/>
          <w:szCs w:val="24"/>
        </w:rPr>
      </w:pPr>
      <w:r>
        <w:rPr>
          <w:sz w:val="24"/>
          <w:szCs w:val="24"/>
        </w:rPr>
        <w:lastRenderedPageBreak/>
        <w:t xml:space="preserve">A fs.   la empresa Servicio </w:t>
      </w:r>
      <w:r w:rsidR="0040721E">
        <w:rPr>
          <w:sz w:val="24"/>
          <w:szCs w:val="24"/>
        </w:rPr>
        <w:t>Técnico</w:t>
      </w:r>
      <w:r>
        <w:rPr>
          <w:sz w:val="24"/>
          <w:szCs w:val="24"/>
        </w:rPr>
        <w:t xml:space="preserve"> acompaña el certificado Fiscal vigente a la fecha.</w:t>
      </w:r>
    </w:p>
    <w:p w:rsidR="003917CD" w:rsidRDefault="003917CD" w:rsidP="003917CD">
      <w:pPr>
        <w:jc w:val="both"/>
        <w:rPr>
          <w:sz w:val="24"/>
          <w:szCs w:val="24"/>
        </w:rPr>
      </w:pPr>
    </w:p>
    <w:p w:rsidR="003917CD" w:rsidRDefault="003917CD" w:rsidP="003917CD">
      <w:pPr>
        <w:jc w:val="both"/>
        <w:rPr>
          <w:sz w:val="24"/>
          <w:szCs w:val="24"/>
        </w:rPr>
      </w:pPr>
      <w:r>
        <w:rPr>
          <w:sz w:val="24"/>
          <w:szCs w:val="24"/>
        </w:rPr>
        <w:t xml:space="preserve">Atento a que oportunamente </w:t>
      </w:r>
      <w:r w:rsidR="0040721E">
        <w:rPr>
          <w:sz w:val="24"/>
          <w:szCs w:val="24"/>
        </w:rPr>
        <w:t xml:space="preserve">se ha emitido </w:t>
      </w:r>
      <w:r>
        <w:rPr>
          <w:sz w:val="24"/>
          <w:szCs w:val="24"/>
        </w:rPr>
        <w:t xml:space="preserve">el correspondiente Dictamen de </w:t>
      </w:r>
      <w:r w:rsidR="0040721E">
        <w:rPr>
          <w:sz w:val="24"/>
          <w:szCs w:val="24"/>
        </w:rPr>
        <w:t>Evaluación</w:t>
      </w:r>
      <w:r>
        <w:rPr>
          <w:sz w:val="24"/>
          <w:szCs w:val="24"/>
        </w:rPr>
        <w:t xml:space="preserve"> de Ofertas y teniendo en cuenta lo manifestado por el </w:t>
      </w:r>
      <w:r w:rsidR="00563DE5">
        <w:rPr>
          <w:sz w:val="24"/>
          <w:szCs w:val="24"/>
        </w:rPr>
        <w:t>área</w:t>
      </w:r>
      <w:r>
        <w:rPr>
          <w:sz w:val="24"/>
          <w:szCs w:val="24"/>
        </w:rPr>
        <w:t xml:space="preserve"> de </w:t>
      </w:r>
      <w:r w:rsidR="0040721E">
        <w:rPr>
          <w:sz w:val="24"/>
          <w:szCs w:val="24"/>
        </w:rPr>
        <w:t>A</w:t>
      </w:r>
      <w:r>
        <w:rPr>
          <w:sz w:val="24"/>
          <w:szCs w:val="24"/>
        </w:rPr>
        <w:t xml:space="preserve">suntos </w:t>
      </w:r>
      <w:r w:rsidR="0040721E">
        <w:rPr>
          <w:sz w:val="24"/>
          <w:szCs w:val="24"/>
        </w:rPr>
        <w:t>J</w:t>
      </w:r>
      <w:r>
        <w:rPr>
          <w:sz w:val="24"/>
          <w:szCs w:val="24"/>
        </w:rPr>
        <w:t xml:space="preserve">urídicos, esta </w:t>
      </w:r>
      <w:r w:rsidR="0040721E">
        <w:rPr>
          <w:sz w:val="24"/>
          <w:szCs w:val="24"/>
        </w:rPr>
        <w:t>Comisión</w:t>
      </w:r>
      <w:r>
        <w:rPr>
          <w:sz w:val="24"/>
          <w:szCs w:val="24"/>
        </w:rPr>
        <w:t xml:space="preserve">, de entenderlo conveniente las </w:t>
      </w:r>
      <w:r w:rsidR="0040721E">
        <w:rPr>
          <w:sz w:val="24"/>
          <w:szCs w:val="24"/>
        </w:rPr>
        <w:t>instancias administrativas</w:t>
      </w:r>
      <w:r>
        <w:rPr>
          <w:sz w:val="24"/>
          <w:szCs w:val="24"/>
        </w:rPr>
        <w:t xml:space="preserve"> superiores, procederá a la apertura del segundo sobre de la empresa referida.</w:t>
      </w:r>
    </w:p>
    <w:p w:rsidR="003917CD" w:rsidRDefault="003917CD" w:rsidP="003917CD">
      <w:pPr>
        <w:jc w:val="both"/>
        <w:rPr>
          <w:sz w:val="24"/>
          <w:szCs w:val="24"/>
        </w:rPr>
      </w:pPr>
    </w:p>
    <w:p w:rsidR="003917CD" w:rsidRDefault="003917CD" w:rsidP="003917CD">
      <w:pPr>
        <w:jc w:val="both"/>
        <w:rPr>
          <w:sz w:val="24"/>
          <w:szCs w:val="24"/>
        </w:rPr>
      </w:pPr>
    </w:p>
    <w:p w:rsidR="003917CD" w:rsidRPr="009A03A1" w:rsidRDefault="003917CD" w:rsidP="003917CD">
      <w:pPr>
        <w:jc w:val="both"/>
        <w:rPr>
          <w:lang w:val="es-ES_tradnl"/>
        </w:rPr>
      </w:pPr>
    </w:p>
    <w:p w:rsidR="003917CD" w:rsidRPr="007A4FEF" w:rsidRDefault="003917CD" w:rsidP="003917CD">
      <w:pPr>
        <w:jc w:val="center"/>
        <w:outlineLvl w:val="0"/>
        <w:rPr>
          <w:lang w:val="es-AR"/>
        </w:rPr>
      </w:pPr>
    </w:p>
    <w:p w:rsidR="003917CD" w:rsidRDefault="003917CD" w:rsidP="003917CD"/>
    <w:p w:rsidR="003917CD" w:rsidRPr="00105C71" w:rsidRDefault="003917CD" w:rsidP="003917CD"/>
    <w:p w:rsidR="003917CD" w:rsidRDefault="003917CD" w:rsidP="003917CD"/>
    <w:p w:rsidR="003917CD" w:rsidRDefault="003917CD" w:rsidP="003917CD"/>
    <w:p w:rsidR="00563DE5" w:rsidRDefault="00563DE5"/>
    <w:sectPr w:rsidR="00563DE5" w:rsidSect="00563DE5">
      <w:headerReference w:type="default" r:id="rId7"/>
      <w:footerReference w:type="default" r:id="rId8"/>
      <w:pgSz w:w="11907" w:h="16839"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B0" w:rsidRDefault="003965B0">
      <w:r>
        <w:separator/>
      </w:r>
    </w:p>
  </w:endnote>
  <w:endnote w:type="continuationSeparator" w:id="0">
    <w:p w:rsidR="003965B0" w:rsidRDefault="0039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B0" w:rsidRDefault="003965B0" w:rsidP="00563DE5">
    <w:pPr>
      <w:pStyle w:val="Piedepgina"/>
      <w:jc w:val="center"/>
      <w:rPr>
        <w:lang w:val="es-ES_tradnl"/>
      </w:rPr>
    </w:pPr>
  </w:p>
  <w:p w:rsidR="003965B0" w:rsidRPr="00F93F18" w:rsidRDefault="003965B0" w:rsidP="00563DE5">
    <w:pPr>
      <w:pStyle w:val="Piedepgina"/>
      <w:jc w:val="center"/>
      <w:rPr>
        <w:lang w:val="es-ES_tradnl"/>
      </w:rPr>
    </w:pPr>
    <w:r>
      <w:rPr>
        <w:rStyle w:val="Nmerodepgina"/>
      </w:rPr>
      <w:fldChar w:fldCharType="begin"/>
    </w:r>
    <w:r>
      <w:rPr>
        <w:rStyle w:val="Nmerodepgina"/>
      </w:rPr>
      <w:instrText xml:space="preserve"> PAGE </w:instrText>
    </w:r>
    <w:r>
      <w:rPr>
        <w:rStyle w:val="Nmerodepgina"/>
      </w:rPr>
      <w:fldChar w:fldCharType="separate"/>
    </w:r>
    <w:r w:rsidR="00746304">
      <w:rPr>
        <w:rStyle w:val="Nmerodepgina"/>
        <w:noProof/>
      </w:rPr>
      <w:t>2</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B0" w:rsidRDefault="003965B0">
      <w:r>
        <w:separator/>
      </w:r>
    </w:p>
  </w:footnote>
  <w:footnote w:type="continuationSeparator" w:id="0">
    <w:p w:rsidR="003965B0" w:rsidRDefault="0039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B0" w:rsidRDefault="003965B0" w:rsidP="00563DE5">
    <w:pPr>
      <w:pStyle w:val="Encabezado"/>
      <w:rPr>
        <w:color w:val="FFFFFF"/>
      </w:rPr>
    </w:pPr>
  </w:p>
  <w:p w:rsidR="003965B0" w:rsidRDefault="003965B0" w:rsidP="00563DE5">
    <w:pPr>
      <w:pStyle w:val="Encabezado"/>
      <w:rPr>
        <w:color w:val="FFFFFF"/>
      </w:rPr>
    </w:pPr>
    <w:r>
      <w:rPr>
        <w:color w:val="FFFFFF"/>
      </w:rPr>
      <w:t xml:space="preserve">                                                              </w:t>
    </w:r>
    <w:r>
      <w:rPr>
        <w:noProof/>
        <w:color w:val="FFFFFF"/>
        <w:lang w:val="es-AR" w:eastAsia="es-AR"/>
      </w:rPr>
      <w:drawing>
        <wp:inline distT="0" distB="0" distL="0" distR="0" wp14:anchorId="1CC712F8" wp14:editId="1C2F6579">
          <wp:extent cx="6572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rsidR="003965B0" w:rsidRDefault="003965B0" w:rsidP="00563DE5">
    <w:pPr>
      <w:pStyle w:val="Encabezado"/>
      <w:rPr>
        <w:color w:val="FFFFFF"/>
      </w:rPr>
    </w:pPr>
  </w:p>
  <w:p w:rsidR="003965B0" w:rsidRDefault="003965B0" w:rsidP="00563DE5">
    <w:pPr>
      <w:pStyle w:val="Encabezado"/>
      <w:tabs>
        <w:tab w:val="left" w:pos="-567"/>
      </w:tabs>
      <w:ind w:left="-567"/>
      <w:jc w:val="center"/>
      <w:rPr>
        <w:rFonts w:ascii="Calisto MT" w:hAnsi="Calisto MT"/>
        <w:b/>
        <w:i/>
        <w:sz w:val="24"/>
      </w:rPr>
    </w:pPr>
    <w:r>
      <w:rPr>
        <w:rFonts w:ascii="Calisto MT" w:hAnsi="Calisto MT"/>
        <w:b/>
        <w:i/>
        <w:sz w:val="24"/>
      </w:rPr>
      <w:t xml:space="preserve">         Consejo de la Magistratura de la Ciudad Autónoma de Buenos  Aires</w:t>
    </w:r>
  </w:p>
  <w:p w:rsidR="003965B0" w:rsidRDefault="003965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CD"/>
    <w:rsid w:val="002C0B64"/>
    <w:rsid w:val="003917CD"/>
    <w:rsid w:val="003965B0"/>
    <w:rsid w:val="0040721E"/>
    <w:rsid w:val="004F5CDF"/>
    <w:rsid w:val="00515C32"/>
    <w:rsid w:val="00563DE5"/>
    <w:rsid w:val="007242C7"/>
    <w:rsid w:val="00746304"/>
    <w:rsid w:val="00CD6683"/>
    <w:rsid w:val="00E078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CD"/>
    <w:pPr>
      <w:spacing w:after="0" w:line="240" w:lineRule="auto"/>
    </w:pPr>
    <w:rPr>
      <w:rFonts w:ascii="Times New Roman" w:eastAsia="Times New Roman" w:hAnsi="Times New Roman" w:cs="Times New Roman"/>
      <w:sz w:val="20"/>
      <w:szCs w:val="20"/>
      <w:lang w:val="es-ES" w:eastAsia="es-ES"/>
    </w:rPr>
  </w:style>
  <w:style w:type="paragraph" w:styleId="Ttulo8">
    <w:name w:val="heading 8"/>
    <w:basedOn w:val="Normal"/>
    <w:next w:val="Normal"/>
    <w:link w:val="Ttulo8Car"/>
    <w:uiPriority w:val="9"/>
    <w:semiHidden/>
    <w:unhideWhenUsed/>
    <w:qFormat/>
    <w:rsid w:val="003917C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3917CD"/>
    <w:pPr>
      <w:keepNext/>
      <w:jc w:val="center"/>
      <w:outlineLvl w:val="8"/>
    </w:pPr>
    <w:rPr>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
    <w:semiHidden/>
    <w:rsid w:val="003917CD"/>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rsid w:val="003917CD"/>
    <w:rPr>
      <w:rFonts w:ascii="Times New Roman" w:eastAsia="Times New Roman" w:hAnsi="Times New Roman" w:cs="Times New Roman"/>
      <w:b/>
      <w:bCs/>
      <w:sz w:val="24"/>
      <w:szCs w:val="20"/>
      <w:u w:val="single"/>
      <w:lang w:val="es-ES" w:eastAsia="es-ES"/>
    </w:rPr>
  </w:style>
  <w:style w:type="paragraph" w:styleId="Textoindependiente">
    <w:name w:val="Body Text"/>
    <w:aliases w:val="bt,Body3"/>
    <w:basedOn w:val="Normal"/>
    <w:link w:val="TextoindependienteCar"/>
    <w:rsid w:val="003917CD"/>
    <w:pPr>
      <w:jc w:val="both"/>
    </w:pPr>
    <w:rPr>
      <w:sz w:val="24"/>
    </w:rPr>
  </w:style>
  <w:style w:type="character" w:customStyle="1" w:styleId="TextoindependienteCar">
    <w:name w:val="Texto independiente Car"/>
    <w:aliases w:val="bt Car,Body3 Car"/>
    <w:basedOn w:val="Fuentedeprrafopredeter"/>
    <w:link w:val="Textoindependiente"/>
    <w:rsid w:val="003917CD"/>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3917CD"/>
    <w:pPr>
      <w:tabs>
        <w:tab w:val="center" w:pos="4419"/>
        <w:tab w:val="right" w:pos="8838"/>
      </w:tabs>
    </w:pPr>
  </w:style>
  <w:style w:type="character" w:customStyle="1" w:styleId="EncabezadoCar">
    <w:name w:val="Encabezado Car"/>
    <w:basedOn w:val="Fuentedeprrafopredeter"/>
    <w:link w:val="Encabezado"/>
    <w:rsid w:val="003917CD"/>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917CD"/>
    <w:pPr>
      <w:tabs>
        <w:tab w:val="center" w:pos="4419"/>
        <w:tab w:val="right" w:pos="8838"/>
      </w:tabs>
    </w:pPr>
  </w:style>
  <w:style w:type="character" w:customStyle="1" w:styleId="PiedepginaCar">
    <w:name w:val="Pie de página Car"/>
    <w:basedOn w:val="Fuentedeprrafopredeter"/>
    <w:link w:val="Piedepgina"/>
    <w:rsid w:val="003917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917CD"/>
  </w:style>
  <w:style w:type="paragraph" w:styleId="Textodeglobo">
    <w:name w:val="Balloon Text"/>
    <w:basedOn w:val="Normal"/>
    <w:link w:val="TextodegloboCar"/>
    <w:uiPriority w:val="99"/>
    <w:semiHidden/>
    <w:unhideWhenUsed/>
    <w:rsid w:val="00391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CD"/>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CD"/>
    <w:pPr>
      <w:spacing w:after="0" w:line="240" w:lineRule="auto"/>
    </w:pPr>
    <w:rPr>
      <w:rFonts w:ascii="Times New Roman" w:eastAsia="Times New Roman" w:hAnsi="Times New Roman" w:cs="Times New Roman"/>
      <w:sz w:val="20"/>
      <w:szCs w:val="20"/>
      <w:lang w:val="es-ES" w:eastAsia="es-ES"/>
    </w:rPr>
  </w:style>
  <w:style w:type="paragraph" w:styleId="Ttulo8">
    <w:name w:val="heading 8"/>
    <w:basedOn w:val="Normal"/>
    <w:next w:val="Normal"/>
    <w:link w:val="Ttulo8Car"/>
    <w:uiPriority w:val="9"/>
    <w:semiHidden/>
    <w:unhideWhenUsed/>
    <w:qFormat/>
    <w:rsid w:val="003917C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3917CD"/>
    <w:pPr>
      <w:keepNext/>
      <w:jc w:val="center"/>
      <w:outlineLvl w:val="8"/>
    </w:pPr>
    <w:rPr>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
    <w:semiHidden/>
    <w:rsid w:val="003917CD"/>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rsid w:val="003917CD"/>
    <w:rPr>
      <w:rFonts w:ascii="Times New Roman" w:eastAsia="Times New Roman" w:hAnsi="Times New Roman" w:cs="Times New Roman"/>
      <w:b/>
      <w:bCs/>
      <w:sz w:val="24"/>
      <w:szCs w:val="20"/>
      <w:u w:val="single"/>
      <w:lang w:val="es-ES" w:eastAsia="es-ES"/>
    </w:rPr>
  </w:style>
  <w:style w:type="paragraph" w:styleId="Textoindependiente">
    <w:name w:val="Body Text"/>
    <w:aliases w:val="bt,Body3"/>
    <w:basedOn w:val="Normal"/>
    <w:link w:val="TextoindependienteCar"/>
    <w:rsid w:val="003917CD"/>
    <w:pPr>
      <w:jc w:val="both"/>
    </w:pPr>
    <w:rPr>
      <w:sz w:val="24"/>
    </w:rPr>
  </w:style>
  <w:style w:type="character" w:customStyle="1" w:styleId="TextoindependienteCar">
    <w:name w:val="Texto independiente Car"/>
    <w:aliases w:val="bt Car,Body3 Car"/>
    <w:basedOn w:val="Fuentedeprrafopredeter"/>
    <w:link w:val="Textoindependiente"/>
    <w:rsid w:val="003917CD"/>
    <w:rPr>
      <w:rFonts w:ascii="Times New Roman" w:eastAsia="Times New Roman" w:hAnsi="Times New Roman" w:cs="Times New Roman"/>
      <w:sz w:val="24"/>
      <w:szCs w:val="20"/>
      <w:lang w:val="es-ES" w:eastAsia="es-ES"/>
    </w:rPr>
  </w:style>
  <w:style w:type="paragraph" w:styleId="Encabezado">
    <w:name w:val="header"/>
    <w:basedOn w:val="Normal"/>
    <w:link w:val="EncabezadoCar"/>
    <w:rsid w:val="003917CD"/>
    <w:pPr>
      <w:tabs>
        <w:tab w:val="center" w:pos="4419"/>
        <w:tab w:val="right" w:pos="8838"/>
      </w:tabs>
    </w:pPr>
  </w:style>
  <w:style w:type="character" w:customStyle="1" w:styleId="EncabezadoCar">
    <w:name w:val="Encabezado Car"/>
    <w:basedOn w:val="Fuentedeprrafopredeter"/>
    <w:link w:val="Encabezado"/>
    <w:rsid w:val="003917CD"/>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917CD"/>
    <w:pPr>
      <w:tabs>
        <w:tab w:val="center" w:pos="4419"/>
        <w:tab w:val="right" w:pos="8838"/>
      </w:tabs>
    </w:pPr>
  </w:style>
  <w:style w:type="character" w:customStyle="1" w:styleId="PiedepginaCar">
    <w:name w:val="Pie de página Car"/>
    <w:basedOn w:val="Fuentedeprrafopredeter"/>
    <w:link w:val="Piedepgina"/>
    <w:rsid w:val="003917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917CD"/>
  </w:style>
  <w:style w:type="paragraph" w:styleId="Textodeglobo">
    <w:name w:val="Balloon Text"/>
    <w:basedOn w:val="Normal"/>
    <w:link w:val="TextodegloboCar"/>
    <w:uiPriority w:val="99"/>
    <w:semiHidden/>
    <w:unhideWhenUsed/>
    <w:rsid w:val="00391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CD"/>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Hernan Carballo</dc:creator>
  <cp:lastModifiedBy>Federico Hernan Carballo</cp:lastModifiedBy>
  <cp:revision>2</cp:revision>
  <cp:lastPrinted>2013-11-21T14:55:00Z</cp:lastPrinted>
  <dcterms:created xsi:type="dcterms:W3CDTF">2013-11-29T18:14:00Z</dcterms:created>
  <dcterms:modified xsi:type="dcterms:W3CDTF">2013-11-29T18:14:00Z</dcterms:modified>
</cp:coreProperties>
</file>