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EA" w:rsidRDefault="00D316EA" w:rsidP="00D316EA">
      <w:pPr>
        <w:outlineLvl w:val="0"/>
        <w:rPr>
          <w:b/>
          <w:bCs/>
          <w:sz w:val="24"/>
          <w:u w:val="single"/>
        </w:rPr>
      </w:pPr>
    </w:p>
    <w:p w:rsidR="00D316EA" w:rsidRPr="003965B0" w:rsidRDefault="00D316EA" w:rsidP="00D316EA">
      <w:pPr>
        <w:outlineLvl w:val="0"/>
        <w:rPr>
          <w:sz w:val="24"/>
          <w:szCs w:val="24"/>
        </w:rPr>
      </w:pPr>
    </w:p>
    <w:p w:rsidR="00D316EA" w:rsidRPr="00F80F03" w:rsidRDefault="00D316EA" w:rsidP="00D316EA">
      <w:pPr>
        <w:pStyle w:val="Ttulo8"/>
        <w:rPr>
          <w:szCs w:val="24"/>
          <w:highlight w:val="green"/>
        </w:rPr>
      </w:pPr>
    </w:p>
    <w:p w:rsidR="00D316EA" w:rsidRPr="00F80F03" w:rsidRDefault="00D316EA" w:rsidP="00D316EA">
      <w:pPr>
        <w:rPr>
          <w:sz w:val="24"/>
          <w:szCs w:val="24"/>
          <w:highlight w:val="green"/>
        </w:rPr>
      </w:pPr>
    </w:p>
    <w:p w:rsidR="00D316EA" w:rsidRPr="00F80F03" w:rsidRDefault="00D316EA" w:rsidP="00D316EA">
      <w:pPr>
        <w:pStyle w:val="Textoindependiente"/>
        <w:jc w:val="center"/>
        <w:rPr>
          <w:szCs w:val="24"/>
        </w:rPr>
      </w:pPr>
      <w:r w:rsidRPr="00F80F03">
        <w:rPr>
          <w:szCs w:val="24"/>
        </w:rPr>
        <w:t xml:space="preserve">                                                      </w:t>
      </w:r>
      <w:r>
        <w:rPr>
          <w:szCs w:val="24"/>
        </w:rPr>
        <w:t xml:space="preserve">        </w:t>
      </w:r>
      <w:r w:rsidR="008322A6">
        <w:rPr>
          <w:szCs w:val="24"/>
        </w:rPr>
        <w:t>Buenos Aires, 2</w:t>
      </w:r>
      <w:r>
        <w:rPr>
          <w:szCs w:val="24"/>
        </w:rPr>
        <w:t xml:space="preserve"> </w:t>
      </w:r>
      <w:r w:rsidRPr="00F80F03">
        <w:rPr>
          <w:szCs w:val="24"/>
        </w:rPr>
        <w:t xml:space="preserve">de </w:t>
      </w:r>
      <w:r>
        <w:rPr>
          <w:szCs w:val="24"/>
        </w:rPr>
        <w:t>noviembre</w:t>
      </w:r>
      <w:r w:rsidRPr="00F80F03">
        <w:rPr>
          <w:szCs w:val="24"/>
        </w:rPr>
        <w:t xml:space="preserve"> de 201</w:t>
      </w:r>
      <w:r>
        <w:rPr>
          <w:szCs w:val="24"/>
        </w:rPr>
        <w:t>3</w:t>
      </w:r>
    </w:p>
    <w:p w:rsidR="00D316EA" w:rsidRPr="00F80F03" w:rsidRDefault="00D316EA" w:rsidP="00D316EA">
      <w:pPr>
        <w:pStyle w:val="Textoindependiente"/>
        <w:rPr>
          <w:b/>
          <w:bCs/>
          <w:szCs w:val="24"/>
          <w:highlight w:val="green"/>
        </w:rPr>
      </w:pPr>
    </w:p>
    <w:p w:rsidR="00D316EA" w:rsidRPr="00F80F03" w:rsidRDefault="00D316EA" w:rsidP="00D316EA">
      <w:pPr>
        <w:pStyle w:val="Textoindependiente"/>
        <w:rPr>
          <w:b/>
          <w:bCs/>
          <w:szCs w:val="24"/>
          <w:highlight w:val="green"/>
        </w:rPr>
      </w:pPr>
    </w:p>
    <w:p w:rsidR="00D316EA" w:rsidRPr="00F80F03" w:rsidRDefault="00D316EA" w:rsidP="00D316EA">
      <w:pPr>
        <w:ind w:left="705" w:hanging="705"/>
        <w:jc w:val="both"/>
        <w:rPr>
          <w:b/>
          <w:bCs/>
          <w:sz w:val="24"/>
          <w:szCs w:val="24"/>
        </w:rPr>
      </w:pPr>
      <w:r w:rsidRPr="00F80F03">
        <w:rPr>
          <w:b/>
          <w:bCs/>
          <w:sz w:val="24"/>
          <w:szCs w:val="24"/>
          <w:u w:val="single"/>
          <w:lang w:val="es-ES_tradnl"/>
        </w:rPr>
        <w:t>Ref.:</w:t>
      </w:r>
      <w:r w:rsidRPr="00F80F03">
        <w:rPr>
          <w:b/>
          <w:bCs/>
          <w:sz w:val="24"/>
          <w:szCs w:val="24"/>
          <w:lang w:val="es-ES_tradnl"/>
        </w:rPr>
        <w:tab/>
        <w:t xml:space="preserve">Exp. CM. Nº </w:t>
      </w:r>
      <w:r w:rsidRPr="00F80F03">
        <w:rPr>
          <w:b/>
          <w:bCs/>
          <w:sz w:val="24"/>
          <w:szCs w:val="24"/>
        </w:rPr>
        <w:t>DCC</w:t>
      </w:r>
      <w:r>
        <w:rPr>
          <w:b/>
          <w:bCs/>
          <w:sz w:val="24"/>
          <w:szCs w:val="24"/>
        </w:rPr>
        <w:t>-266</w:t>
      </w:r>
      <w:r w:rsidRPr="00F80F03">
        <w:rPr>
          <w:b/>
          <w:bCs/>
          <w:sz w:val="24"/>
          <w:szCs w:val="24"/>
        </w:rPr>
        <w:t>/1</w:t>
      </w:r>
      <w:r>
        <w:rPr>
          <w:b/>
          <w:bCs/>
          <w:sz w:val="24"/>
          <w:szCs w:val="24"/>
        </w:rPr>
        <w:t>3-0 Licitación Pública Nº 24</w:t>
      </w:r>
      <w:r w:rsidRPr="00F80F03">
        <w:rPr>
          <w:b/>
          <w:bCs/>
          <w:sz w:val="24"/>
          <w:szCs w:val="24"/>
        </w:rPr>
        <w:t>/</w:t>
      </w:r>
      <w:r>
        <w:rPr>
          <w:b/>
          <w:bCs/>
          <w:sz w:val="24"/>
          <w:szCs w:val="24"/>
        </w:rPr>
        <w:t>13 s/adquisición de vehículos</w:t>
      </w:r>
    </w:p>
    <w:p w:rsidR="00D316EA" w:rsidRPr="00F80F03" w:rsidRDefault="00D316EA" w:rsidP="00D316EA">
      <w:pPr>
        <w:ind w:left="705" w:hanging="705"/>
        <w:jc w:val="both"/>
        <w:rPr>
          <w:sz w:val="24"/>
          <w:szCs w:val="24"/>
          <w:highlight w:val="green"/>
        </w:rPr>
      </w:pPr>
    </w:p>
    <w:p w:rsidR="00D316EA" w:rsidRPr="00F80F03" w:rsidRDefault="00D316EA" w:rsidP="00D316EA">
      <w:pPr>
        <w:jc w:val="both"/>
        <w:rPr>
          <w:sz w:val="24"/>
          <w:szCs w:val="24"/>
        </w:rPr>
      </w:pPr>
    </w:p>
    <w:p w:rsidR="00D316EA" w:rsidRDefault="00D316EA" w:rsidP="00D316EA">
      <w:pPr>
        <w:jc w:val="both"/>
        <w:rPr>
          <w:sz w:val="24"/>
          <w:szCs w:val="24"/>
        </w:rPr>
      </w:pPr>
      <w:r w:rsidRPr="00F80F03">
        <w:rPr>
          <w:sz w:val="24"/>
          <w:szCs w:val="24"/>
        </w:rPr>
        <w:t xml:space="preserve">Llega </w:t>
      </w:r>
      <w:r w:rsidR="00F311B1">
        <w:rPr>
          <w:sz w:val="24"/>
          <w:szCs w:val="24"/>
        </w:rPr>
        <w:t>el presente expediente</w:t>
      </w:r>
      <w:r w:rsidRPr="00F80F03">
        <w:rPr>
          <w:sz w:val="24"/>
          <w:szCs w:val="24"/>
        </w:rPr>
        <w:t xml:space="preserve"> </w:t>
      </w:r>
      <w:r>
        <w:rPr>
          <w:sz w:val="24"/>
          <w:szCs w:val="24"/>
        </w:rPr>
        <w:t>remitido por la Sra. Secretaria Legal y Técnica</w:t>
      </w:r>
      <w:r w:rsidRPr="00F80F03">
        <w:rPr>
          <w:sz w:val="24"/>
          <w:szCs w:val="24"/>
        </w:rPr>
        <w:t xml:space="preserve">, a fin de </w:t>
      </w:r>
      <w:r>
        <w:rPr>
          <w:sz w:val="24"/>
          <w:szCs w:val="24"/>
        </w:rPr>
        <w:t xml:space="preserve">que esta dependencia tome conocimiento del Dictamen N° </w:t>
      </w:r>
      <w:r w:rsidR="00D741F9">
        <w:rPr>
          <w:sz w:val="24"/>
          <w:szCs w:val="24"/>
        </w:rPr>
        <w:t>5417</w:t>
      </w:r>
      <w:r>
        <w:rPr>
          <w:sz w:val="24"/>
          <w:szCs w:val="24"/>
        </w:rPr>
        <w:t>/2013 emitido por el área d</w:t>
      </w:r>
      <w:r w:rsidR="002C119B">
        <w:rPr>
          <w:sz w:val="24"/>
          <w:szCs w:val="24"/>
        </w:rPr>
        <w:t>e Asuntos Jurídicos en el cual</w:t>
      </w:r>
      <w:r>
        <w:rPr>
          <w:sz w:val="24"/>
          <w:szCs w:val="24"/>
        </w:rPr>
        <w:t xml:space="preserve"> sugiere que esta comisión realice un nuevo análisis teniendo en cuenta la presentación </w:t>
      </w:r>
      <w:r w:rsidR="002C119B">
        <w:rPr>
          <w:sz w:val="24"/>
          <w:szCs w:val="24"/>
        </w:rPr>
        <w:t xml:space="preserve">efectuada </w:t>
      </w:r>
      <w:r w:rsidR="005F199C">
        <w:rPr>
          <w:sz w:val="24"/>
          <w:szCs w:val="24"/>
        </w:rPr>
        <w:t xml:space="preserve">por </w:t>
      </w:r>
      <w:r w:rsidR="002C119B">
        <w:rPr>
          <w:sz w:val="24"/>
          <w:szCs w:val="24"/>
        </w:rPr>
        <w:t>la empresa Citroën Peugeot Argentina S.A.</w:t>
      </w:r>
      <w:r w:rsidR="00F311B1">
        <w:rPr>
          <w:sz w:val="24"/>
          <w:szCs w:val="24"/>
        </w:rPr>
        <w:t>,</w:t>
      </w:r>
      <w:r w:rsidR="002C119B">
        <w:rPr>
          <w:sz w:val="24"/>
          <w:szCs w:val="24"/>
        </w:rPr>
        <w:t xml:space="preserve"> </w:t>
      </w:r>
      <w:r>
        <w:rPr>
          <w:sz w:val="24"/>
          <w:szCs w:val="24"/>
        </w:rPr>
        <w:t>del ce</w:t>
      </w:r>
      <w:r w:rsidR="00D741F9">
        <w:rPr>
          <w:sz w:val="24"/>
          <w:szCs w:val="24"/>
        </w:rPr>
        <w:t>rtificado fiscal para contratar.</w:t>
      </w:r>
    </w:p>
    <w:p w:rsidR="00F311B1" w:rsidRDefault="00F311B1" w:rsidP="00D316EA">
      <w:pPr>
        <w:jc w:val="both"/>
        <w:rPr>
          <w:sz w:val="24"/>
          <w:szCs w:val="24"/>
        </w:rPr>
      </w:pPr>
    </w:p>
    <w:p w:rsidR="00D316EA" w:rsidRDefault="00D316EA" w:rsidP="00D316EA">
      <w:pPr>
        <w:jc w:val="both"/>
        <w:rPr>
          <w:sz w:val="24"/>
          <w:szCs w:val="24"/>
        </w:rPr>
      </w:pPr>
      <w:r>
        <w:rPr>
          <w:sz w:val="24"/>
          <w:szCs w:val="24"/>
        </w:rPr>
        <w:t>En dicho dictamen, el área de Asuntos Jurídicos analiza</w:t>
      </w:r>
      <w:r w:rsidR="00D741F9">
        <w:rPr>
          <w:sz w:val="24"/>
          <w:szCs w:val="24"/>
        </w:rPr>
        <w:t xml:space="preserve"> la presentación del Certificado Fiscal por parte de la oferente mencionada, la demora en que ha incurrido el organismo emisor de dicho certificado y la adecuación de la situación al marco normativa de este organismo concluyendo que “…esta </w:t>
      </w:r>
      <w:r w:rsidR="00232B36">
        <w:rPr>
          <w:sz w:val="24"/>
          <w:szCs w:val="24"/>
        </w:rPr>
        <w:t>Dirección</w:t>
      </w:r>
      <w:r w:rsidR="00D741F9">
        <w:rPr>
          <w:sz w:val="24"/>
          <w:szCs w:val="24"/>
        </w:rPr>
        <w:t xml:space="preserve"> General entiende que preservar el procedimiento licitatorio se erige como un principio general del derecho administrativo. En ese orden debemos destacar que la diligencia del oferente</w:t>
      </w:r>
      <w:r w:rsidR="003F0CC9">
        <w:rPr>
          <w:sz w:val="24"/>
          <w:szCs w:val="24"/>
        </w:rPr>
        <w:t xml:space="preserve"> (solicitud de su Certificado Fiscal para Contratar con antelación al vencimiento del anterior- fs. 302) y la incongruencia registrada en la información pública emitid</w:t>
      </w:r>
      <w:r w:rsidR="005F199C">
        <w:rPr>
          <w:sz w:val="24"/>
          <w:szCs w:val="24"/>
        </w:rPr>
        <w:t>a por la AFIP EN EL MISMO DIA (</w:t>
      </w:r>
      <w:r w:rsidR="003F0CC9">
        <w:rPr>
          <w:sz w:val="24"/>
          <w:szCs w:val="24"/>
        </w:rPr>
        <w:t>fs. 338/ fs. 392</w:t>
      </w:r>
      <w:r w:rsidR="00232B36">
        <w:rPr>
          <w:sz w:val="24"/>
          <w:szCs w:val="24"/>
        </w:rPr>
        <w:t>) ha motivado el error de esta administración al no evaluar la oferta de PEUGEOT CITROEN Argentina S.A. estas actuaciones, y en especial en el actual estado del procedimiento ante la declaración de esa oferta como inadmisible nos permite aconsejar que se reconsidere la oferta en estudio. Pues efectivamente, no se lesiona derecho alguno de los otros oferentes, que como señalamos más arriba, ya habían sido descartados por la inadmisibilidad (fs. 345) o por inconveniencia (fs. 349). En conclusión, es opinión de esta Dirección General que la falta de presentación del certificado fiscal para contratar no debería ser un impedimento absoluto para considerar la oferta, si</w:t>
      </w:r>
      <w:r w:rsidR="005F199C">
        <w:rPr>
          <w:sz w:val="24"/>
          <w:szCs w:val="24"/>
        </w:rPr>
        <w:t>m</w:t>
      </w:r>
      <w:r w:rsidR="00232B36">
        <w:rPr>
          <w:sz w:val="24"/>
          <w:szCs w:val="24"/>
        </w:rPr>
        <w:t xml:space="preserve"> perjuicio de las características especiales arriba reseñadas en este caso.”</w:t>
      </w:r>
    </w:p>
    <w:p w:rsidR="00FE7ABB" w:rsidRDefault="00FE7ABB" w:rsidP="00D316EA">
      <w:pPr>
        <w:jc w:val="both"/>
        <w:rPr>
          <w:sz w:val="24"/>
          <w:szCs w:val="24"/>
        </w:rPr>
      </w:pPr>
    </w:p>
    <w:p w:rsidR="008322A6" w:rsidRDefault="008322A6" w:rsidP="00D316EA">
      <w:pPr>
        <w:jc w:val="both"/>
        <w:rPr>
          <w:sz w:val="24"/>
          <w:szCs w:val="24"/>
        </w:rPr>
      </w:pPr>
      <w:r>
        <w:rPr>
          <w:sz w:val="24"/>
          <w:szCs w:val="24"/>
        </w:rPr>
        <w:t>Con respecto a la penalidad (multa) de la que informa el RIUPP a fs. 315 vta., no resulta relevante en el presente procedimiento toda vez</w:t>
      </w:r>
      <w:r w:rsidR="005F199C">
        <w:rPr>
          <w:sz w:val="24"/>
          <w:szCs w:val="24"/>
        </w:rPr>
        <w:t xml:space="preserve"> que este caso no se encuentra contemplado dentro de las inhabilidades para contratar.</w:t>
      </w:r>
    </w:p>
    <w:p w:rsidR="00FE7ABB" w:rsidRDefault="00FE7ABB" w:rsidP="00D316EA">
      <w:pPr>
        <w:jc w:val="both"/>
        <w:rPr>
          <w:sz w:val="24"/>
          <w:szCs w:val="24"/>
        </w:rPr>
      </w:pPr>
    </w:p>
    <w:p w:rsidR="00FE7ABB" w:rsidRDefault="00FE7ABB" w:rsidP="00FE7ABB">
      <w:pPr>
        <w:jc w:val="center"/>
        <w:rPr>
          <w:sz w:val="24"/>
          <w:szCs w:val="24"/>
        </w:rPr>
      </w:pPr>
      <w:r w:rsidRPr="00FE7ABB">
        <w:rPr>
          <w:b/>
          <w:sz w:val="24"/>
          <w:szCs w:val="24"/>
        </w:rPr>
        <w:t>CONCLUSION</w:t>
      </w:r>
    </w:p>
    <w:p w:rsidR="00FE7ABB" w:rsidRPr="00FE7ABB" w:rsidRDefault="00FE7ABB" w:rsidP="00FE7ABB">
      <w:pPr>
        <w:jc w:val="center"/>
        <w:rPr>
          <w:sz w:val="24"/>
          <w:szCs w:val="24"/>
        </w:rPr>
      </w:pPr>
    </w:p>
    <w:p w:rsidR="00D741F9" w:rsidRDefault="00FE7ABB" w:rsidP="00232B36">
      <w:pPr>
        <w:jc w:val="both"/>
        <w:rPr>
          <w:sz w:val="24"/>
          <w:szCs w:val="24"/>
        </w:rPr>
      </w:pPr>
      <w:r>
        <w:rPr>
          <w:sz w:val="24"/>
          <w:szCs w:val="24"/>
        </w:rPr>
        <w:t xml:space="preserve">En virtud de lo manifestado por el área de Asuntos Jurídicos, y habiendo cesado los motivos por los cuales la oferta de la empresa Peugeot Citroën S.A. fuera </w:t>
      </w:r>
      <w:r>
        <w:rPr>
          <w:sz w:val="24"/>
          <w:szCs w:val="24"/>
        </w:rPr>
        <w:lastRenderedPageBreak/>
        <w:t>oportunamente declarada inadmisible, esta Comisión entiende que se encuentra expedita la vía para que las instancias superiores consideren la oferta de dicha empresa a los fines de la adjudicación.</w:t>
      </w:r>
    </w:p>
    <w:p w:rsidR="005F199C" w:rsidRDefault="005F199C" w:rsidP="00232B36">
      <w:pPr>
        <w:jc w:val="both"/>
        <w:rPr>
          <w:sz w:val="24"/>
          <w:szCs w:val="24"/>
        </w:rPr>
      </w:pPr>
    </w:p>
    <w:p w:rsidR="005F199C" w:rsidRDefault="005F199C" w:rsidP="00232B36">
      <w:pPr>
        <w:jc w:val="both"/>
        <w:rPr>
          <w:sz w:val="24"/>
          <w:szCs w:val="24"/>
        </w:rPr>
      </w:pPr>
    </w:p>
    <w:p w:rsidR="005F199C" w:rsidRDefault="005F199C" w:rsidP="00232B36">
      <w:pPr>
        <w:jc w:val="both"/>
        <w:rPr>
          <w:sz w:val="24"/>
          <w:szCs w:val="24"/>
        </w:rPr>
      </w:pPr>
    </w:p>
    <w:p w:rsidR="005F199C" w:rsidRDefault="005F199C" w:rsidP="00232B36">
      <w:pPr>
        <w:jc w:val="both"/>
        <w:rPr>
          <w:sz w:val="24"/>
          <w:szCs w:val="24"/>
        </w:rPr>
      </w:pPr>
    </w:p>
    <w:p w:rsidR="005F199C" w:rsidRDefault="005F199C" w:rsidP="00232B36">
      <w:pPr>
        <w:jc w:val="both"/>
        <w:rPr>
          <w:sz w:val="24"/>
          <w:szCs w:val="24"/>
        </w:rPr>
      </w:pPr>
    </w:p>
    <w:p w:rsidR="005F199C" w:rsidRPr="00232B36" w:rsidRDefault="005F199C" w:rsidP="00232B36">
      <w:pPr>
        <w:jc w:val="both"/>
        <w:rPr>
          <w:sz w:val="24"/>
          <w:szCs w:val="24"/>
        </w:rPr>
      </w:pPr>
      <w:r>
        <w:rPr>
          <w:sz w:val="24"/>
          <w:szCs w:val="24"/>
        </w:rPr>
        <w:t>Adrián</w:t>
      </w:r>
      <w:bookmarkStart w:id="0" w:name="_GoBack"/>
      <w:bookmarkEnd w:id="0"/>
      <w:r>
        <w:rPr>
          <w:sz w:val="24"/>
          <w:szCs w:val="24"/>
        </w:rPr>
        <w:t xml:space="preserve"> Costantino</w:t>
      </w:r>
      <w:r>
        <w:rPr>
          <w:sz w:val="24"/>
          <w:szCs w:val="24"/>
        </w:rPr>
        <w:tab/>
      </w:r>
      <w:r>
        <w:rPr>
          <w:sz w:val="24"/>
          <w:szCs w:val="24"/>
        </w:rPr>
        <w:tab/>
        <w:t>Gabriel Robirosa</w:t>
      </w:r>
      <w:r>
        <w:rPr>
          <w:sz w:val="24"/>
          <w:szCs w:val="24"/>
        </w:rPr>
        <w:tab/>
      </w:r>
      <w:r>
        <w:rPr>
          <w:sz w:val="24"/>
          <w:szCs w:val="24"/>
        </w:rPr>
        <w:tab/>
        <w:t>Federico Carballo</w:t>
      </w:r>
    </w:p>
    <w:sectPr w:rsidR="005F199C" w:rsidRPr="00232B36" w:rsidSect="00D741F9">
      <w:headerReference w:type="default" r:id="rId7"/>
      <w:footerReference w:type="default" r:id="rId8"/>
      <w:pgSz w:w="11907" w:h="16839" w:code="9"/>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99C" w:rsidRDefault="005F199C">
      <w:r>
        <w:separator/>
      </w:r>
    </w:p>
  </w:endnote>
  <w:endnote w:type="continuationSeparator" w:id="0">
    <w:p w:rsidR="005F199C" w:rsidRDefault="005F1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99C" w:rsidRDefault="005F199C" w:rsidP="00D741F9">
    <w:pPr>
      <w:pStyle w:val="Piedepgina"/>
      <w:jc w:val="center"/>
      <w:rPr>
        <w:lang w:val="es-ES_tradnl"/>
      </w:rPr>
    </w:pPr>
  </w:p>
  <w:p w:rsidR="005F199C" w:rsidRPr="00F93F18" w:rsidRDefault="005F199C" w:rsidP="00D741F9">
    <w:pPr>
      <w:pStyle w:val="Piedepgina"/>
      <w:jc w:val="center"/>
      <w:rPr>
        <w:lang w:val="es-ES_tradnl"/>
      </w:rPr>
    </w:pPr>
    <w:r>
      <w:rPr>
        <w:rStyle w:val="Nmerodepgina"/>
      </w:rPr>
      <w:fldChar w:fldCharType="begin"/>
    </w:r>
    <w:r>
      <w:rPr>
        <w:rStyle w:val="Nmerodepgina"/>
      </w:rPr>
      <w:instrText xml:space="preserve"> PAGE </w:instrText>
    </w:r>
    <w:r>
      <w:rPr>
        <w:rStyle w:val="Nmerodepgina"/>
      </w:rPr>
      <w:fldChar w:fldCharType="separate"/>
    </w:r>
    <w:r w:rsidR="0085786D">
      <w:rPr>
        <w:rStyle w:val="Nmerodepgina"/>
        <w:noProof/>
      </w:rPr>
      <w:t>2</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99C" w:rsidRDefault="005F199C">
      <w:r>
        <w:separator/>
      </w:r>
    </w:p>
  </w:footnote>
  <w:footnote w:type="continuationSeparator" w:id="0">
    <w:p w:rsidR="005F199C" w:rsidRDefault="005F1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99C" w:rsidRDefault="005F199C" w:rsidP="00D741F9">
    <w:pPr>
      <w:pStyle w:val="Encabezado"/>
      <w:rPr>
        <w:color w:val="FFFFFF"/>
      </w:rPr>
    </w:pPr>
  </w:p>
  <w:p w:rsidR="005F199C" w:rsidRDefault="005F199C" w:rsidP="00D741F9">
    <w:pPr>
      <w:pStyle w:val="Encabezado"/>
      <w:rPr>
        <w:color w:val="FFFFFF"/>
      </w:rPr>
    </w:pPr>
    <w:r>
      <w:rPr>
        <w:color w:val="FFFFFF"/>
      </w:rPr>
      <w:t xml:space="preserve">                                                              </w:t>
    </w:r>
    <w:r>
      <w:rPr>
        <w:noProof/>
        <w:color w:val="FFFFFF"/>
        <w:lang w:val="es-AR" w:eastAsia="es-AR"/>
      </w:rPr>
      <w:drawing>
        <wp:inline distT="0" distB="0" distL="0" distR="0" wp14:anchorId="2AC4E2A5" wp14:editId="5E378D69">
          <wp:extent cx="657225" cy="723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p w:rsidR="005F199C" w:rsidRDefault="005F199C" w:rsidP="00D741F9">
    <w:pPr>
      <w:pStyle w:val="Encabezado"/>
      <w:rPr>
        <w:color w:val="FFFFFF"/>
      </w:rPr>
    </w:pPr>
  </w:p>
  <w:p w:rsidR="005F199C" w:rsidRDefault="005F199C" w:rsidP="00D741F9">
    <w:pPr>
      <w:pStyle w:val="Encabezado"/>
      <w:tabs>
        <w:tab w:val="left" w:pos="-567"/>
      </w:tabs>
      <w:ind w:left="-567"/>
      <w:jc w:val="center"/>
      <w:rPr>
        <w:rFonts w:ascii="Calisto MT" w:hAnsi="Calisto MT"/>
        <w:b/>
        <w:i/>
        <w:sz w:val="24"/>
      </w:rPr>
    </w:pPr>
    <w:r>
      <w:rPr>
        <w:rFonts w:ascii="Calisto MT" w:hAnsi="Calisto MT"/>
        <w:b/>
        <w:i/>
        <w:sz w:val="24"/>
      </w:rPr>
      <w:t xml:space="preserve">         Consejo de la Magistratura de la Ciudad Autónoma de Buenos  Aires</w:t>
    </w:r>
  </w:p>
  <w:p w:rsidR="005F199C" w:rsidRDefault="005F19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6EA"/>
    <w:rsid w:val="00232B36"/>
    <w:rsid w:val="002C0B64"/>
    <w:rsid w:val="002C119B"/>
    <w:rsid w:val="003F0CC9"/>
    <w:rsid w:val="005F199C"/>
    <w:rsid w:val="006C326F"/>
    <w:rsid w:val="008322A6"/>
    <w:rsid w:val="0085786D"/>
    <w:rsid w:val="00D316EA"/>
    <w:rsid w:val="00D741F9"/>
    <w:rsid w:val="00E0783B"/>
    <w:rsid w:val="00F311B1"/>
    <w:rsid w:val="00FE7A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EA"/>
    <w:pPr>
      <w:spacing w:after="0" w:line="240" w:lineRule="auto"/>
    </w:pPr>
    <w:rPr>
      <w:rFonts w:ascii="Times New Roman" w:eastAsia="Times New Roman" w:hAnsi="Times New Roman" w:cs="Times New Roman"/>
      <w:sz w:val="20"/>
      <w:szCs w:val="20"/>
      <w:lang w:val="es-ES" w:eastAsia="es-ES"/>
    </w:rPr>
  </w:style>
  <w:style w:type="paragraph" w:styleId="Ttulo8">
    <w:name w:val="heading 8"/>
    <w:basedOn w:val="Normal"/>
    <w:next w:val="Normal"/>
    <w:link w:val="Ttulo8Car"/>
    <w:uiPriority w:val="9"/>
    <w:semiHidden/>
    <w:unhideWhenUsed/>
    <w:qFormat/>
    <w:rsid w:val="00D316EA"/>
    <w:pPr>
      <w:keepNext/>
      <w:keepLines/>
      <w:spacing w:before="200"/>
      <w:outlineLvl w:val="7"/>
    </w:pPr>
    <w:rPr>
      <w:rFonts w:asciiTheme="majorHAnsi" w:eastAsiaTheme="majorEastAsia" w:hAnsiTheme="majorHAnsi" w:cstheme="majorBidi"/>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uiPriority w:val="9"/>
    <w:semiHidden/>
    <w:rsid w:val="00D316EA"/>
    <w:rPr>
      <w:rFonts w:asciiTheme="majorHAnsi" w:eastAsiaTheme="majorEastAsia" w:hAnsiTheme="majorHAnsi" w:cstheme="majorBidi"/>
      <w:color w:val="404040" w:themeColor="text1" w:themeTint="BF"/>
      <w:sz w:val="20"/>
      <w:szCs w:val="20"/>
      <w:lang w:val="es-ES" w:eastAsia="es-ES"/>
    </w:rPr>
  </w:style>
  <w:style w:type="paragraph" w:styleId="Textoindependiente">
    <w:name w:val="Body Text"/>
    <w:aliases w:val="bt,Body3"/>
    <w:basedOn w:val="Normal"/>
    <w:link w:val="TextoindependienteCar"/>
    <w:rsid w:val="00D316EA"/>
    <w:pPr>
      <w:jc w:val="both"/>
    </w:pPr>
    <w:rPr>
      <w:sz w:val="24"/>
    </w:rPr>
  </w:style>
  <w:style w:type="character" w:customStyle="1" w:styleId="TextoindependienteCar">
    <w:name w:val="Texto independiente Car"/>
    <w:aliases w:val="bt Car,Body3 Car"/>
    <w:basedOn w:val="Fuentedeprrafopredeter"/>
    <w:link w:val="Textoindependiente"/>
    <w:rsid w:val="00D316EA"/>
    <w:rPr>
      <w:rFonts w:ascii="Times New Roman" w:eastAsia="Times New Roman" w:hAnsi="Times New Roman" w:cs="Times New Roman"/>
      <w:sz w:val="24"/>
      <w:szCs w:val="20"/>
      <w:lang w:val="es-ES" w:eastAsia="es-ES"/>
    </w:rPr>
  </w:style>
  <w:style w:type="paragraph" w:styleId="Encabezado">
    <w:name w:val="header"/>
    <w:basedOn w:val="Normal"/>
    <w:link w:val="EncabezadoCar"/>
    <w:rsid w:val="00D316EA"/>
    <w:pPr>
      <w:tabs>
        <w:tab w:val="center" w:pos="4419"/>
        <w:tab w:val="right" w:pos="8838"/>
      </w:tabs>
    </w:pPr>
  </w:style>
  <w:style w:type="character" w:customStyle="1" w:styleId="EncabezadoCar">
    <w:name w:val="Encabezado Car"/>
    <w:basedOn w:val="Fuentedeprrafopredeter"/>
    <w:link w:val="Encabezado"/>
    <w:rsid w:val="00D316EA"/>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D316EA"/>
    <w:pPr>
      <w:tabs>
        <w:tab w:val="center" w:pos="4419"/>
        <w:tab w:val="right" w:pos="8838"/>
      </w:tabs>
    </w:pPr>
  </w:style>
  <w:style w:type="character" w:customStyle="1" w:styleId="PiedepginaCar">
    <w:name w:val="Pie de página Car"/>
    <w:basedOn w:val="Fuentedeprrafopredeter"/>
    <w:link w:val="Piedepgina"/>
    <w:rsid w:val="00D316EA"/>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316EA"/>
  </w:style>
  <w:style w:type="paragraph" w:styleId="Textodeglobo">
    <w:name w:val="Balloon Text"/>
    <w:basedOn w:val="Normal"/>
    <w:link w:val="TextodegloboCar"/>
    <w:uiPriority w:val="99"/>
    <w:semiHidden/>
    <w:unhideWhenUsed/>
    <w:rsid w:val="00D316EA"/>
    <w:rPr>
      <w:rFonts w:ascii="Tahoma" w:hAnsi="Tahoma" w:cs="Tahoma"/>
      <w:sz w:val="16"/>
      <w:szCs w:val="16"/>
    </w:rPr>
  </w:style>
  <w:style w:type="character" w:customStyle="1" w:styleId="TextodegloboCar">
    <w:name w:val="Texto de globo Car"/>
    <w:basedOn w:val="Fuentedeprrafopredeter"/>
    <w:link w:val="Textodeglobo"/>
    <w:uiPriority w:val="99"/>
    <w:semiHidden/>
    <w:rsid w:val="00D316EA"/>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EA"/>
    <w:pPr>
      <w:spacing w:after="0" w:line="240" w:lineRule="auto"/>
    </w:pPr>
    <w:rPr>
      <w:rFonts w:ascii="Times New Roman" w:eastAsia="Times New Roman" w:hAnsi="Times New Roman" w:cs="Times New Roman"/>
      <w:sz w:val="20"/>
      <w:szCs w:val="20"/>
      <w:lang w:val="es-ES" w:eastAsia="es-ES"/>
    </w:rPr>
  </w:style>
  <w:style w:type="paragraph" w:styleId="Ttulo8">
    <w:name w:val="heading 8"/>
    <w:basedOn w:val="Normal"/>
    <w:next w:val="Normal"/>
    <w:link w:val="Ttulo8Car"/>
    <w:uiPriority w:val="9"/>
    <w:semiHidden/>
    <w:unhideWhenUsed/>
    <w:qFormat/>
    <w:rsid w:val="00D316EA"/>
    <w:pPr>
      <w:keepNext/>
      <w:keepLines/>
      <w:spacing w:before="200"/>
      <w:outlineLvl w:val="7"/>
    </w:pPr>
    <w:rPr>
      <w:rFonts w:asciiTheme="majorHAnsi" w:eastAsiaTheme="majorEastAsia" w:hAnsiTheme="majorHAnsi" w:cstheme="majorBidi"/>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basedOn w:val="Fuentedeprrafopredeter"/>
    <w:link w:val="Ttulo8"/>
    <w:uiPriority w:val="9"/>
    <w:semiHidden/>
    <w:rsid w:val="00D316EA"/>
    <w:rPr>
      <w:rFonts w:asciiTheme="majorHAnsi" w:eastAsiaTheme="majorEastAsia" w:hAnsiTheme="majorHAnsi" w:cstheme="majorBidi"/>
      <w:color w:val="404040" w:themeColor="text1" w:themeTint="BF"/>
      <w:sz w:val="20"/>
      <w:szCs w:val="20"/>
      <w:lang w:val="es-ES" w:eastAsia="es-ES"/>
    </w:rPr>
  </w:style>
  <w:style w:type="paragraph" w:styleId="Textoindependiente">
    <w:name w:val="Body Text"/>
    <w:aliases w:val="bt,Body3"/>
    <w:basedOn w:val="Normal"/>
    <w:link w:val="TextoindependienteCar"/>
    <w:rsid w:val="00D316EA"/>
    <w:pPr>
      <w:jc w:val="both"/>
    </w:pPr>
    <w:rPr>
      <w:sz w:val="24"/>
    </w:rPr>
  </w:style>
  <w:style w:type="character" w:customStyle="1" w:styleId="TextoindependienteCar">
    <w:name w:val="Texto independiente Car"/>
    <w:aliases w:val="bt Car,Body3 Car"/>
    <w:basedOn w:val="Fuentedeprrafopredeter"/>
    <w:link w:val="Textoindependiente"/>
    <w:rsid w:val="00D316EA"/>
    <w:rPr>
      <w:rFonts w:ascii="Times New Roman" w:eastAsia="Times New Roman" w:hAnsi="Times New Roman" w:cs="Times New Roman"/>
      <w:sz w:val="24"/>
      <w:szCs w:val="20"/>
      <w:lang w:val="es-ES" w:eastAsia="es-ES"/>
    </w:rPr>
  </w:style>
  <w:style w:type="paragraph" w:styleId="Encabezado">
    <w:name w:val="header"/>
    <w:basedOn w:val="Normal"/>
    <w:link w:val="EncabezadoCar"/>
    <w:rsid w:val="00D316EA"/>
    <w:pPr>
      <w:tabs>
        <w:tab w:val="center" w:pos="4419"/>
        <w:tab w:val="right" w:pos="8838"/>
      </w:tabs>
    </w:pPr>
  </w:style>
  <w:style w:type="character" w:customStyle="1" w:styleId="EncabezadoCar">
    <w:name w:val="Encabezado Car"/>
    <w:basedOn w:val="Fuentedeprrafopredeter"/>
    <w:link w:val="Encabezado"/>
    <w:rsid w:val="00D316EA"/>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D316EA"/>
    <w:pPr>
      <w:tabs>
        <w:tab w:val="center" w:pos="4419"/>
        <w:tab w:val="right" w:pos="8838"/>
      </w:tabs>
    </w:pPr>
  </w:style>
  <w:style w:type="character" w:customStyle="1" w:styleId="PiedepginaCar">
    <w:name w:val="Pie de página Car"/>
    <w:basedOn w:val="Fuentedeprrafopredeter"/>
    <w:link w:val="Piedepgina"/>
    <w:rsid w:val="00D316EA"/>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316EA"/>
  </w:style>
  <w:style w:type="paragraph" w:styleId="Textodeglobo">
    <w:name w:val="Balloon Text"/>
    <w:basedOn w:val="Normal"/>
    <w:link w:val="TextodegloboCar"/>
    <w:uiPriority w:val="99"/>
    <w:semiHidden/>
    <w:unhideWhenUsed/>
    <w:rsid w:val="00D316EA"/>
    <w:rPr>
      <w:rFonts w:ascii="Tahoma" w:hAnsi="Tahoma" w:cs="Tahoma"/>
      <w:sz w:val="16"/>
      <w:szCs w:val="16"/>
    </w:rPr>
  </w:style>
  <w:style w:type="character" w:customStyle="1" w:styleId="TextodegloboCar">
    <w:name w:val="Texto de globo Car"/>
    <w:basedOn w:val="Fuentedeprrafopredeter"/>
    <w:link w:val="Textodeglobo"/>
    <w:uiPriority w:val="99"/>
    <w:semiHidden/>
    <w:rsid w:val="00D316E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Hernan Carballo</dc:creator>
  <cp:lastModifiedBy>Federico Hernan Carballo</cp:lastModifiedBy>
  <cp:revision>2</cp:revision>
  <cp:lastPrinted>2013-12-02T19:37:00Z</cp:lastPrinted>
  <dcterms:created xsi:type="dcterms:W3CDTF">2013-12-02T19:49:00Z</dcterms:created>
  <dcterms:modified xsi:type="dcterms:W3CDTF">2013-12-02T19:49:00Z</dcterms:modified>
</cp:coreProperties>
</file>