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5E" w:rsidRPr="00904BEE" w:rsidRDefault="00D2595E" w:rsidP="00D2595E">
      <w:pPr>
        <w:pStyle w:val="Ttulo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Dictamen de Evaluación de Ofertas</w:t>
      </w:r>
    </w:p>
    <w:p w:rsidR="00D2595E" w:rsidRDefault="00D2595E" w:rsidP="002E5050">
      <w:pPr>
        <w:rPr>
          <w:rFonts w:ascii="Arial" w:hAnsi="Arial" w:cs="Arial"/>
          <w:sz w:val="24"/>
          <w:szCs w:val="24"/>
        </w:rPr>
      </w:pPr>
    </w:p>
    <w:p w:rsidR="00D2595E" w:rsidRPr="00904BEE" w:rsidRDefault="00D2595E" w:rsidP="00D2595E">
      <w:pPr>
        <w:jc w:val="right"/>
        <w:rPr>
          <w:rFonts w:ascii="Arial" w:hAnsi="Arial" w:cs="Arial"/>
          <w:sz w:val="24"/>
          <w:szCs w:val="24"/>
        </w:rPr>
      </w:pPr>
      <w:r w:rsidRPr="00904BEE">
        <w:rPr>
          <w:rFonts w:ascii="Arial" w:hAnsi="Arial" w:cs="Arial"/>
          <w:sz w:val="24"/>
          <w:szCs w:val="24"/>
        </w:rPr>
        <w:t xml:space="preserve">Buenos Aires, </w:t>
      </w:r>
      <w:r w:rsidR="00D4130B">
        <w:rPr>
          <w:rFonts w:ascii="Arial" w:hAnsi="Arial" w:cs="Arial"/>
          <w:sz w:val="24"/>
          <w:szCs w:val="24"/>
        </w:rPr>
        <w:t xml:space="preserve">02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de septiembre </w:t>
      </w:r>
      <w:r w:rsidRPr="00904BEE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3</w:t>
      </w:r>
      <w:r w:rsidRPr="00904BEE">
        <w:rPr>
          <w:rFonts w:ascii="Arial" w:hAnsi="Arial" w:cs="Arial"/>
          <w:sz w:val="24"/>
          <w:szCs w:val="24"/>
        </w:rPr>
        <w:t>.</w:t>
      </w:r>
    </w:p>
    <w:p w:rsidR="00D2595E" w:rsidRPr="002E5050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Pr="00904BEE" w:rsidRDefault="00D2595E" w:rsidP="00D2595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04BEE">
        <w:rPr>
          <w:rFonts w:ascii="Arial" w:hAnsi="Arial" w:cs="Arial"/>
          <w:b/>
          <w:bCs/>
          <w:sz w:val="24"/>
          <w:szCs w:val="24"/>
          <w:u w:val="single"/>
        </w:rPr>
        <w:t xml:space="preserve">Ref.: </w:t>
      </w:r>
      <w:proofErr w:type="spellStart"/>
      <w:r w:rsidRPr="00904BEE">
        <w:rPr>
          <w:rFonts w:ascii="Arial" w:hAnsi="Arial" w:cs="Arial"/>
          <w:b/>
          <w:bCs/>
          <w:sz w:val="24"/>
          <w:szCs w:val="24"/>
          <w:u w:val="single"/>
        </w:rPr>
        <w:t>Exp</w:t>
      </w:r>
      <w:proofErr w:type="spellEnd"/>
      <w:r w:rsidRPr="00904BEE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D.C.C.  388/13-0 s/ Contratación de Limpieza Integral de Edificios. </w:t>
      </w:r>
      <w:r w:rsidR="00F6589D">
        <w:rPr>
          <w:rFonts w:ascii="Arial" w:hAnsi="Arial" w:cs="Arial"/>
          <w:b/>
          <w:bCs/>
          <w:sz w:val="24"/>
          <w:szCs w:val="24"/>
          <w:u w:val="single"/>
        </w:rPr>
        <w:t>Licitación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Pública Nº 06/2013.</w:t>
      </w:r>
    </w:p>
    <w:p w:rsidR="00D2595E" w:rsidRPr="00904BEE" w:rsidRDefault="00D2595E" w:rsidP="00D2595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595E" w:rsidRPr="00904BEE" w:rsidRDefault="00D2595E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Llega </w:t>
      </w:r>
      <w:r w:rsidRPr="00904BEE">
        <w:rPr>
          <w:rFonts w:ascii="Arial" w:hAnsi="Arial" w:cs="Arial"/>
          <w:sz w:val="24"/>
          <w:szCs w:val="24"/>
        </w:rPr>
        <w:t xml:space="preserve">este expediente a conocimiento de la Comisión de </w:t>
      </w:r>
      <w:proofErr w:type="spellStart"/>
      <w:r w:rsidRPr="00904BEE">
        <w:rPr>
          <w:rFonts w:ascii="Arial" w:hAnsi="Arial" w:cs="Arial"/>
          <w:sz w:val="24"/>
          <w:szCs w:val="24"/>
        </w:rPr>
        <w:t>Preadjudicaciones</w:t>
      </w:r>
      <w:proofErr w:type="spellEnd"/>
      <w:r w:rsidRPr="00904BEE">
        <w:rPr>
          <w:rFonts w:ascii="Arial" w:hAnsi="Arial" w:cs="Arial"/>
          <w:sz w:val="24"/>
          <w:szCs w:val="24"/>
        </w:rPr>
        <w:t>, a fin de dictaminar</w:t>
      </w:r>
      <w:r>
        <w:rPr>
          <w:rFonts w:ascii="Arial" w:hAnsi="Arial" w:cs="Arial"/>
          <w:sz w:val="24"/>
          <w:szCs w:val="24"/>
        </w:rPr>
        <w:t xml:space="preserve"> con respecto al sobre Nº 02</w:t>
      </w:r>
      <w:r w:rsidRPr="00904BEE">
        <w:rPr>
          <w:rFonts w:ascii="Arial" w:hAnsi="Arial" w:cs="Arial"/>
          <w:sz w:val="24"/>
          <w:szCs w:val="24"/>
        </w:rPr>
        <w:t xml:space="preserve"> en la Licitación Pública Nº</w:t>
      </w:r>
      <w:r>
        <w:rPr>
          <w:rFonts w:ascii="Arial" w:hAnsi="Arial" w:cs="Arial"/>
          <w:sz w:val="24"/>
          <w:szCs w:val="24"/>
        </w:rPr>
        <w:t xml:space="preserve"> 06/2013 s/contratación de Limpieza Integral de Edificios</w:t>
      </w:r>
      <w:r w:rsidRPr="00904BEE">
        <w:rPr>
          <w:rFonts w:ascii="Arial" w:hAnsi="Arial" w:cs="Arial"/>
          <w:sz w:val="24"/>
          <w:szCs w:val="24"/>
        </w:rPr>
        <w:t xml:space="preserve">, con un presupuesto oficial de </w:t>
      </w:r>
      <w:r>
        <w:rPr>
          <w:rFonts w:ascii="Arial" w:hAnsi="Arial" w:cs="Arial"/>
          <w:sz w:val="24"/>
          <w:szCs w:val="24"/>
        </w:rPr>
        <w:t>pesos veintitrés millones treinta y siete mil seiscientos noventa y seis ($23.037.696.-)</w:t>
      </w:r>
    </w:p>
    <w:p w:rsidR="00D2595E" w:rsidRPr="00904BEE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  <w:r w:rsidRPr="00904BEE">
        <w:rPr>
          <w:rFonts w:ascii="Arial" w:hAnsi="Arial" w:cs="Arial"/>
          <w:sz w:val="24"/>
          <w:szCs w:val="24"/>
        </w:rPr>
        <w:t xml:space="preserve">A fs. </w:t>
      </w:r>
      <w:r>
        <w:rPr>
          <w:rFonts w:ascii="Arial" w:hAnsi="Arial" w:cs="Arial"/>
          <w:sz w:val="24"/>
          <w:szCs w:val="24"/>
        </w:rPr>
        <w:t>325</w:t>
      </w:r>
      <w:r w:rsidR="00E17C2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/326</w:t>
      </w:r>
      <w:r w:rsidR="00E17C2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obra la Resolución CAFITIT Nº </w:t>
      </w:r>
      <w:r w:rsidR="00E17C23">
        <w:rPr>
          <w:rFonts w:ascii="Arial" w:hAnsi="Arial" w:cs="Arial"/>
          <w:sz w:val="24"/>
          <w:szCs w:val="24"/>
        </w:rPr>
        <w:t>59/2013</w:t>
      </w:r>
      <w:r>
        <w:rPr>
          <w:rFonts w:ascii="Arial" w:hAnsi="Arial" w:cs="Arial"/>
          <w:sz w:val="24"/>
          <w:szCs w:val="24"/>
        </w:rPr>
        <w:t xml:space="preserve"> mediante la cual se declara</w:t>
      </w:r>
      <w:r w:rsidR="00E17C2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admisible</w:t>
      </w:r>
      <w:r w:rsidR="00E17C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la</w:t>
      </w:r>
      <w:r w:rsidR="00E17C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oferta</w:t>
      </w:r>
      <w:r w:rsidR="00E17C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presentada</w:t>
      </w:r>
      <w:r w:rsidR="00E17C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7C23">
        <w:rPr>
          <w:rFonts w:ascii="Arial" w:hAnsi="Arial" w:cs="Arial"/>
          <w:sz w:val="24"/>
          <w:szCs w:val="24"/>
        </w:rPr>
        <w:t>Limpiolux</w:t>
      </w:r>
      <w:proofErr w:type="spellEnd"/>
      <w:r w:rsidR="00E17C23">
        <w:rPr>
          <w:rFonts w:ascii="Arial" w:hAnsi="Arial" w:cs="Arial"/>
          <w:sz w:val="24"/>
          <w:szCs w:val="24"/>
        </w:rPr>
        <w:t xml:space="preserve"> S.A., </w:t>
      </w:r>
      <w:proofErr w:type="spellStart"/>
      <w:r w:rsidR="00E17C23">
        <w:rPr>
          <w:rFonts w:ascii="Arial" w:hAnsi="Arial" w:cs="Arial"/>
          <w:sz w:val="24"/>
          <w:szCs w:val="24"/>
        </w:rPr>
        <w:t>Sulimp</w:t>
      </w:r>
      <w:proofErr w:type="spellEnd"/>
      <w:r w:rsidR="00E17C23">
        <w:rPr>
          <w:rFonts w:ascii="Arial" w:hAnsi="Arial" w:cs="Arial"/>
          <w:sz w:val="24"/>
          <w:szCs w:val="24"/>
        </w:rPr>
        <w:t xml:space="preserve"> S.A., La </w:t>
      </w:r>
      <w:proofErr w:type="spellStart"/>
      <w:r w:rsidR="00E17C23">
        <w:rPr>
          <w:rFonts w:ascii="Arial" w:hAnsi="Arial" w:cs="Arial"/>
          <w:sz w:val="24"/>
          <w:szCs w:val="24"/>
        </w:rPr>
        <w:t>Mantovana</w:t>
      </w:r>
      <w:proofErr w:type="spellEnd"/>
      <w:r w:rsidR="00E17C23">
        <w:rPr>
          <w:rFonts w:ascii="Arial" w:hAnsi="Arial" w:cs="Arial"/>
          <w:sz w:val="24"/>
          <w:szCs w:val="24"/>
        </w:rPr>
        <w:t xml:space="preserve"> de Servicios Generales S.A., Servicio de Limpieza y Mantenimiento S.A. y </w:t>
      </w:r>
      <w:proofErr w:type="spellStart"/>
      <w:r w:rsidR="00E17C23">
        <w:rPr>
          <w:rFonts w:ascii="Arial" w:hAnsi="Arial" w:cs="Arial"/>
          <w:sz w:val="24"/>
          <w:szCs w:val="24"/>
        </w:rPr>
        <w:t>Floor</w:t>
      </w:r>
      <w:proofErr w:type="spellEnd"/>
      <w:r w:rsidR="00E17C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7C23">
        <w:rPr>
          <w:rFonts w:ascii="Arial" w:hAnsi="Arial" w:cs="Arial"/>
          <w:sz w:val="24"/>
          <w:szCs w:val="24"/>
        </w:rPr>
        <w:t>Clean</w:t>
      </w:r>
      <w:proofErr w:type="spellEnd"/>
      <w:r w:rsidR="00E17C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se fija como fecha de apertura del segundo sobre el día </w:t>
      </w:r>
      <w:r w:rsidR="00E17C23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E17C23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2013.</w:t>
      </w:r>
      <w:r w:rsidR="00E17C23">
        <w:rPr>
          <w:rFonts w:ascii="Arial" w:hAnsi="Arial" w:cs="Arial"/>
          <w:sz w:val="24"/>
          <w:szCs w:val="24"/>
        </w:rPr>
        <w:t xml:space="preserve"> </w:t>
      </w:r>
    </w:p>
    <w:p w:rsidR="00E17C23" w:rsidRDefault="00E17C23" w:rsidP="00D2595E">
      <w:pPr>
        <w:jc w:val="both"/>
        <w:rPr>
          <w:rFonts w:ascii="Arial" w:hAnsi="Arial" w:cs="Arial"/>
          <w:sz w:val="24"/>
          <w:szCs w:val="24"/>
        </w:rPr>
      </w:pPr>
    </w:p>
    <w:p w:rsidR="00E17C23" w:rsidRDefault="00E17C23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Asimismo se </w:t>
      </w:r>
      <w:r w:rsidR="00F6589D">
        <w:rPr>
          <w:rFonts w:ascii="Arial" w:hAnsi="Arial" w:cs="Arial"/>
          <w:sz w:val="24"/>
          <w:szCs w:val="24"/>
        </w:rPr>
        <w:t>declaran</w:t>
      </w:r>
      <w:r>
        <w:rPr>
          <w:rFonts w:ascii="Arial" w:hAnsi="Arial" w:cs="Arial"/>
          <w:sz w:val="24"/>
          <w:szCs w:val="24"/>
        </w:rPr>
        <w:t xml:space="preserve"> inadmisibles las ofertas presentadas por </w:t>
      </w:r>
      <w:proofErr w:type="spellStart"/>
      <w:r>
        <w:rPr>
          <w:rFonts w:ascii="Arial" w:hAnsi="Arial" w:cs="Arial"/>
          <w:sz w:val="24"/>
          <w:szCs w:val="24"/>
        </w:rPr>
        <w:t>Limpol</w:t>
      </w:r>
      <w:proofErr w:type="spellEnd"/>
      <w:r>
        <w:rPr>
          <w:rFonts w:ascii="Arial" w:hAnsi="Arial" w:cs="Arial"/>
          <w:sz w:val="24"/>
          <w:szCs w:val="24"/>
        </w:rPr>
        <w:t xml:space="preserve"> S.A., South </w:t>
      </w:r>
      <w:proofErr w:type="spellStart"/>
      <w:r>
        <w:rPr>
          <w:rFonts w:ascii="Arial" w:hAnsi="Arial" w:cs="Arial"/>
          <w:sz w:val="24"/>
          <w:szCs w:val="24"/>
        </w:rPr>
        <w:t>Clean</w:t>
      </w:r>
      <w:proofErr w:type="spellEnd"/>
      <w:r>
        <w:rPr>
          <w:rFonts w:ascii="Arial" w:hAnsi="Arial" w:cs="Arial"/>
          <w:sz w:val="24"/>
          <w:szCs w:val="24"/>
        </w:rPr>
        <w:t xml:space="preserve"> Limpieza Integral S.R.L., Impecable Limpieza Integral S.R.L., </w:t>
      </w:r>
      <w:proofErr w:type="spellStart"/>
      <w:r>
        <w:rPr>
          <w:rFonts w:ascii="Arial" w:hAnsi="Arial" w:cs="Arial"/>
          <w:sz w:val="24"/>
          <w:szCs w:val="24"/>
        </w:rPr>
        <w:t>Sertec</w:t>
      </w:r>
      <w:proofErr w:type="spellEnd"/>
      <w:r>
        <w:rPr>
          <w:rFonts w:ascii="Arial" w:hAnsi="Arial" w:cs="Arial"/>
          <w:sz w:val="24"/>
          <w:szCs w:val="24"/>
        </w:rPr>
        <w:t xml:space="preserve"> Servicios y </w:t>
      </w:r>
      <w:r w:rsidR="00F6589D">
        <w:rPr>
          <w:rFonts w:ascii="Arial" w:hAnsi="Arial" w:cs="Arial"/>
          <w:sz w:val="24"/>
          <w:szCs w:val="24"/>
        </w:rPr>
        <w:t>Tecnología</w:t>
      </w:r>
      <w:r>
        <w:rPr>
          <w:rFonts w:ascii="Arial" w:hAnsi="Arial" w:cs="Arial"/>
          <w:sz w:val="24"/>
          <w:szCs w:val="24"/>
        </w:rPr>
        <w:t xml:space="preserve"> en</w:t>
      </w:r>
      <w:r w:rsidR="009C2984">
        <w:rPr>
          <w:rFonts w:ascii="Arial" w:hAnsi="Arial" w:cs="Arial"/>
          <w:sz w:val="24"/>
          <w:szCs w:val="24"/>
        </w:rPr>
        <w:t xml:space="preserve"> Limpieza S.A., </w:t>
      </w:r>
      <w:proofErr w:type="spellStart"/>
      <w:r w:rsidR="009C2984">
        <w:rPr>
          <w:rFonts w:ascii="Arial" w:hAnsi="Arial" w:cs="Arial"/>
          <w:sz w:val="24"/>
          <w:szCs w:val="24"/>
        </w:rPr>
        <w:t>Quality</w:t>
      </w:r>
      <w:proofErr w:type="spellEnd"/>
      <w:r w:rsidR="009C29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984">
        <w:rPr>
          <w:rFonts w:ascii="Arial" w:hAnsi="Arial" w:cs="Arial"/>
          <w:sz w:val="24"/>
          <w:szCs w:val="24"/>
        </w:rPr>
        <w:t>Clean</w:t>
      </w:r>
      <w:proofErr w:type="spellEnd"/>
      <w:r w:rsidR="009C29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984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>lutions</w:t>
      </w:r>
      <w:proofErr w:type="spellEnd"/>
      <w:r>
        <w:rPr>
          <w:rFonts w:ascii="Arial" w:hAnsi="Arial" w:cs="Arial"/>
          <w:sz w:val="24"/>
          <w:szCs w:val="24"/>
        </w:rPr>
        <w:t xml:space="preserve"> S.A., </w:t>
      </w:r>
      <w:proofErr w:type="spellStart"/>
      <w:r>
        <w:rPr>
          <w:rFonts w:ascii="Arial" w:hAnsi="Arial" w:cs="Arial"/>
          <w:sz w:val="24"/>
          <w:szCs w:val="24"/>
        </w:rPr>
        <w:t>Inmantec</w:t>
      </w:r>
      <w:proofErr w:type="spellEnd"/>
      <w:r>
        <w:rPr>
          <w:rFonts w:ascii="Arial" w:hAnsi="Arial" w:cs="Arial"/>
          <w:sz w:val="24"/>
          <w:szCs w:val="24"/>
        </w:rPr>
        <w:t xml:space="preserve"> S.R.L. y </w:t>
      </w:r>
      <w:proofErr w:type="spellStart"/>
      <w:r>
        <w:rPr>
          <w:rFonts w:ascii="Arial" w:hAnsi="Arial" w:cs="Arial"/>
          <w:sz w:val="24"/>
          <w:szCs w:val="24"/>
        </w:rPr>
        <w:t>Tecning</w:t>
      </w:r>
      <w:proofErr w:type="spellEnd"/>
      <w:r>
        <w:rPr>
          <w:rFonts w:ascii="Arial" w:hAnsi="Arial" w:cs="Arial"/>
          <w:sz w:val="24"/>
          <w:szCs w:val="24"/>
        </w:rPr>
        <w:t xml:space="preserve"> S.R.L.</w:t>
      </w: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9C2984" w:rsidRDefault="009C2984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fs. 3264 obra constancia de publicación de la citada resolución en la </w:t>
      </w:r>
      <w:r w:rsidR="00F6589D">
        <w:rPr>
          <w:rFonts w:ascii="Arial" w:hAnsi="Arial" w:cs="Arial"/>
          <w:sz w:val="24"/>
          <w:szCs w:val="24"/>
        </w:rPr>
        <w:t>página</w:t>
      </w:r>
      <w:r>
        <w:rPr>
          <w:rFonts w:ascii="Arial" w:hAnsi="Arial" w:cs="Arial"/>
          <w:sz w:val="24"/>
          <w:szCs w:val="24"/>
        </w:rPr>
        <w:t xml:space="preserve"> web del organismo.</w:t>
      </w:r>
    </w:p>
    <w:p w:rsidR="009C2984" w:rsidRDefault="009C2984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fs. </w:t>
      </w:r>
      <w:r w:rsidR="009C2984">
        <w:rPr>
          <w:rFonts w:ascii="Arial" w:hAnsi="Arial" w:cs="Arial"/>
          <w:sz w:val="24"/>
          <w:szCs w:val="24"/>
        </w:rPr>
        <w:t xml:space="preserve">3265/3284 </w:t>
      </w:r>
      <w:r>
        <w:rPr>
          <w:rFonts w:ascii="Arial" w:hAnsi="Arial" w:cs="Arial"/>
          <w:sz w:val="24"/>
          <w:szCs w:val="24"/>
        </w:rPr>
        <w:t>se acompañan las cédulas de notificación enviadas a los oferentes.</w:t>
      </w: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9C2984" w:rsidRDefault="009C2984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fs. 3285/3298 se agregan constancias de notificación </w:t>
      </w:r>
      <w:r w:rsidR="007F5678">
        <w:rPr>
          <w:rFonts w:ascii="Arial" w:hAnsi="Arial" w:cs="Arial"/>
          <w:sz w:val="24"/>
          <w:szCs w:val="24"/>
        </w:rPr>
        <w:t>vía</w:t>
      </w:r>
      <w:r>
        <w:rPr>
          <w:rFonts w:ascii="Arial" w:hAnsi="Arial" w:cs="Arial"/>
          <w:sz w:val="24"/>
          <w:szCs w:val="24"/>
        </w:rPr>
        <w:t xml:space="preserve"> correo electrónico a los distintos oferentes.</w:t>
      </w:r>
    </w:p>
    <w:p w:rsidR="009C2984" w:rsidRDefault="009C2984" w:rsidP="00D2595E">
      <w:pPr>
        <w:jc w:val="both"/>
        <w:rPr>
          <w:rFonts w:ascii="Arial" w:hAnsi="Arial" w:cs="Arial"/>
          <w:sz w:val="24"/>
          <w:szCs w:val="24"/>
        </w:rPr>
      </w:pPr>
    </w:p>
    <w:p w:rsidR="009C2984" w:rsidRDefault="009C2984" w:rsidP="009C2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3299 se agregan las constancias de publicación de dicha resolución en la cartelera de este consejo</w:t>
      </w: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 fs. </w:t>
      </w:r>
      <w:r w:rsidR="0093282C">
        <w:rPr>
          <w:rFonts w:ascii="Arial" w:hAnsi="Arial" w:cs="Arial"/>
          <w:sz w:val="24"/>
          <w:szCs w:val="24"/>
          <w:lang w:val="es-ES_tradnl"/>
        </w:rPr>
        <w:t xml:space="preserve">3302/3303 </w:t>
      </w:r>
      <w:r>
        <w:rPr>
          <w:rFonts w:ascii="Arial" w:hAnsi="Arial" w:cs="Arial"/>
          <w:sz w:val="24"/>
          <w:szCs w:val="24"/>
          <w:lang w:val="es-ES_tradnl"/>
        </w:rPr>
        <w:t>luce el acta de apertura de ofertas número 1</w:t>
      </w:r>
      <w:r w:rsidR="000F35D3">
        <w:rPr>
          <w:rFonts w:ascii="Arial" w:hAnsi="Arial" w:cs="Arial"/>
          <w:sz w:val="24"/>
          <w:szCs w:val="24"/>
          <w:lang w:val="es-ES_tradnl"/>
        </w:rPr>
        <w:t xml:space="preserve">8/2013, en donde se deja constancia que se </w:t>
      </w:r>
      <w:r w:rsidR="00F6589D">
        <w:rPr>
          <w:rFonts w:ascii="Arial" w:hAnsi="Arial" w:cs="Arial"/>
          <w:sz w:val="24"/>
          <w:szCs w:val="24"/>
          <w:lang w:val="es-ES_tradnl"/>
        </w:rPr>
        <w:t>procedió</w:t>
      </w:r>
      <w:r w:rsidR="000F35D3">
        <w:rPr>
          <w:rFonts w:ascii="Arial" w:hAnsi="Arial" w:cs="Arial"/>
          <w:sz w:val="24"/>
          <w:szCs w:val="24"/>
          <w:lang w:val="es-ES_tradnl"/>
        </w:rPr>
        <w:t xml:space="preserve">, en primer lugar a la apertura del sobre que </w:t>
      </w:r>
      <w:r w:rsidR="00F6589D">
        <w:rPr>
          <w:rFonts w:ascii="Arial" w:hAnsi="Arial" w:cs="Arial"/>
          <w:sz w:val="24"/>
          <w:szCs w:val="24"/>
          <w:lang w:val="es-ES_tradnl"/>
        </w:rPr>
        <w:t>contenía</w:t>
      </w:r>
      <w:r w:rsidR="000F35D3">
        <w:rPr>
          <w:rFonts w:ascii="Arial" w:hAnsi="Arial" w:cs="Arial"/>
          <w:sz w:val="24"/>
          <w:szCs w:val="24"/>
          <w:lang w:val="es-ES_tradnl"/>
        </w:rPr>
        <w:t xml:space="preserve"> los Sobres Nº 2 presentados oportunamente, abriendo posteriormente aquellos correspondientes a las ofertas declaradas admisibles.</w:t>
      </w:r>
    </w:p>
    <w:p w:rsidR="000F35D3" w:rsidRDefault="000F35D3" w:rsidP="00D2595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0F35D3" w:rsidRPr="002D4A02" w:rsidRDefault="000F35D3" w:rsidP="00D2595E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el mismo acto se hizo entrega al Director de Compras y Contrataciones de los restantes sobres para su devolución a los oferentes.</w:t>
      </w:r>
    </w:p>
    <w:p w:rsidR="00D2595E" w:rsidRDefault="00D2595E" w:rsidP="00D2595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0F35D3" w:rsidRPr="00253C24" w:rsidRDefault="000F35D3" w:rsidP="00D2595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D2595E" w:rsidRPr="00904BEE" w:rsidRDefault="00D2595E" w:rsidP="00D2595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OFERTA</w:t>
      </w: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Pr="00904BEE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Default="00D2595E" w:rsidP="00D2595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04BEE">
        <w:rPr>
          <w:rFonts w:ascii="Arial" w:hAnsi="Arial" w:cs="Arial"/>
          <w:b/>
          <w:bCs/>
          <w:sz w:val="24"/>
          <w:szCs w:val="24"/>
          <w:u w:val="single"/>
        </w:rPr>
        <w:t>1.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95992">
        <w:rPr>
          <w:rFonts w:ascii="Arial" w:hAnsi="Arial" w:cs="Arial"/>
          <w:b/>
          <w:bCs/>
          <w:sz w:val="24"/>
          <w:szCs w:val="24"/>
          <w:u w:val="single"/>
        </w:rPr>
        <w:t>LIMPIOLUX S.A.</w:t>
      </w: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  <w:r w:rsidRPr="00904BEE">
        <w:rPr>
          <w:rFonts w:ascii="Arial" w:hAnsi="Arial" w:cs="Arial"/>
          <w:sz w:val="24"/>
          <w:szCs w:val="24"/>
        </w:rPr>
        <w:t xml:space="preserve">CUIT </w:t>
      </w:r>
      <w:r>
        <w:rPr>
          <w:rFonts w:ascii="Arial" w:hAnsi="Arial" w:cs="Arial"/>
          <w:sz w:val="24"/>
          <w:szCs w:val="24"/>
        </w:rPr>
        <w:t>30-</w:t>
      </w:r>
      <w:r w:rsidR="00495992">
        <w:rPr>
          <w:rFonts w:ascii="Arial" w:hAnsi="Arial" w:cs="Arial"/>
          <w:sz w:val="24"/>
          <w:szCs w:val="24"/>
        </w:rPr>
        <w:t>54098462</w:t>
      </w:r>
      <w:r>
        <w:rPr>
          <w:rFonts w:ascii="Arial" w:hAnsi="Arial" w:cs="Arial"/>
          <w:sz w:val="24"/>
          <w:szCs w:val="24"/>
        </w:rPr>
        <w:t>-0</w:t>
      </w: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Dirección: </w:t>
      </w:r>
      <w:r w:rsidR="00495992">
        <w:rPr>
          <w:rFonts w:ascii="Arial" w:hAnsi="Arial" w:cs="Arial"/>
          <w:sz w:val="24"/>
          <w:szCs w:val="24"/>
        </w:rPr>
        <w:t>Gallo 432</w:t>
      </w:r>
    </w:p>
    <w:p w:rsidR="00D2595E" w:rsidRDefault="00D2595E" w:rsidP="0049599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Correo Electrónico: </w:t>
      </w:r>
      <w:hyperlink r:id="rId7" w:history="1">
        <w:r w:rsidR="00AE4426" w:rsidRPr="009A68CA">
          <w:rPr>
            <w:rStyle w:val="Hipervnculo"/>
            <w:rFonts w:ascii="Arial" w:hAnsi="Arial" w:cs="Arial"/>
            <w:sz w:val="24"/>
            <w:szCs w:val="24"/>
          </w:rPr>
          <w:t>marketing@limpiolux.com.ar</w:t>
        </w:r>
      </w:hyperlink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141268" w:rsidRDefault="00141268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fs. 3306 expresa el plazo de mantenimiento de ofertas el que será de </w:t>
      </w:r>
      <w:r w:rsidR="00843C21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días, conforme lo establecido en el pliego de condiciones particulares.</w:t>
      </w:r>
    </w:p>
    <w:p w:rsidR="00141268" w:rsidRDefault="00141268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</w:t>
      </w:r>
      <w:r w:rsidR="00141268">
        <w:rPr>
          <w:rFonts w:ascii="Arial" w:hAnsi="Arial" w:cs="Arial"/>
          <w:sz w:val="24"/>
          <w:szCs w:val="24"/>
        </w:rPr>
        <w:t>307/3308</w:t>
      </w:r>
      <w:r>
        <w:rPr>
          <w:rFonts w:ascii="Arial" w:hAnsi="Arial" w:cs="Arial"/>
          <w:sz w:val="24"/>
          <w:szCs w:val="24"/>
        </w:rPr>
        <w:t xml:space="preserve"> luce la oferta económica </w:t>
      </w:r>
      <w:r w:rsidR="00141268">
        <w:rPr>
          <w:rFonts w:ascii="Arial" w:hAnsi="Arial" w:cs="Arial"/>
          <w:sz w:val="24"/>
          <w:szCs w:val="24"/>
        </w:rPr>
        <w:t>por un monto total de pesos veintitrés millones setecientos setenta y nueve mil doscientos noventa y seis ($23.779.296.-)</w:t>
      </w:r>
      <w:r w:rsidR="0008073B">
        <w:rPr>
          <w:rFonts w:ascii="Arial" w:hAnsi="Arial" w:cs="Arial"/>
          <w:sz w:val="24"/>
          <w:szCs w:val="24"/>
        </w:rPr>
        <w:t>, la que se encuentra un 3,2% por encima del presupuesto oficial, dentro los parámetros de adjudicación fijados por los órganos correspondientes.</w:t>
      </w:r>
    </w:p>
    <w:p w:rsidR="00843C21" w:rsidRDefault="00843C21" w:rsidP="00D2595E">
      <w:pPr>
        <w:jc w:val="both"/>
        <w:rPr>
          <w:rFonts w:ascii="Arial" w:hAnsi="Arial" w:cs="Arial"/>
          <w:sz w:val="24"/>
          <w:szCs w:val="24"/>
        </w:rPr>
      </w:pPr>
    </w:p>
    <w:p w:rsidR="00843C21" w:rsidRDefault="00843C21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3309, se agrega la estructura de costos.</w:t>
      </w:r>
    </w:p>
    <w:p w:rsidR="00843C21" w:rsidRDefault="00843C21" w:rsidP="00D2595E">
      <w:pPr>
        <w:jc w:val="both"/>
        <w:rPr>
          <w:rFonts w:ascii="Arial" w:hAnsi="Arial" w:cs="Arial"/>
          <w:sz w:val="24"/>
          <w:szCs w:val="24"/>
        </w:rPr>
      </w:pPr>
    </w:p>
    <w:p w:rsidR="00843C21" w:rsidRDefault="00843C21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3310 luce el detalle de estructura de costos de la mano de obra.</w:t>
      </w:r>
    </w:p>
    <w:p w:rsidR="00843C21" w:rsidRDefault="00843C21" w:rsidP="00D2595E">
      <w:pPr>
        <w:jc w:val="both"/>
        <w:rPr>
          <w:rFonts w:ascii="Arial" w:hAnsi="Arial" w:cs="Arial"/>
          <w:sz w:val="24"/>
          <w:szCs w:val="24"/>
        </w:rPr>
      </w:pPr>
    </w:p>
    <w:p w:rsidR="00843C21" w:rsidRDefault="00843C21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los criterios de ponderación establecidos </w:t>
      </w:r>
      <w:r w:rsidR="002E5050">
        <w:rPr>
          <w:rFonts w:ascii="Arial" w:hAnsi="Arial" w:cs="Arial"/>
          <w:sz w:val="24"/>
          <w:szCs w:val="24"/>
        </w:rPr>
        <w:t>en el P</w:t>
      </w:r>
      <w:r w:rsidR="0093282C">
        <w:rPr>
          <w:rFonts w:ascii="Arial" w:hAnsi="Arial" w:cs="Arial"/>
          <w:sz w:val="24"/>
          <w:szCs w:val="24"/>
        </w:rPr>
        <w:t xml:space="preserve">CP </w:t>
      </w:r>
      <w:r>
        <w:rPr>
          <w:rFonts w:ascii="Arial" w:hAnsi="Arial" w:cs="Arial"/>
          <w:sz w:val="24"/>
          <w:szCs w:val="24"/>
        </w:rPr>
        <w:t xml:space="preserve">para el </w:t>
      </w:r>
      <w:r w:rsidR="000733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obre Nº2, teniendo en cuenta el monto ofertado corresponde otorgar 6 puntos</w:t>
      </w:r>
      <w:r w:rsidR="0093282C">
        <w:rPr>
          <w:rFonts w:ascii="Arial" w:hAnsi="Arial" w:cs="Arial"/>
          <w:sz w:val="24"/>
          <w:szCs w:val="24"/>
        </w:rPr>
        <w:t xml:space="preserve"> a esta empresa</w:t>
      </w:r>
      <w:r>
        <w:rPr>
          <w:rFonts w:ascii="Arial" w:hAnsi="Arial" w:cs="Arial"/>
          <w:sz w:val="24"/>
          <w:szCs w:val="24"/>
        </w:rPr>
        <w:t>.</w:t>
      </w:r>
    </w:p>
    <w:p w:rsidR="000733E3" w:rsidRDefault="000733E3" w:rsidP="00D2595E">
      <w:pPr>
        <w:jc w:val="both"/>
        <w:rPr>
          <w:rFonts w:ascii="Arial" w:hAnsi="Arial" w:cs="Arial"/>
          <w:sz w:val="24"/>
          <w:szCs w:val="24"/>
        </w:rPr>
      </w:pPr>
    </w:p>
    <w:p w:rsidR="000733E3" w:rsidRDefault="000733E3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 suma del puntaje del Sobre Nº1 (39 puntos) y el Sobre Nº2 (6 puntos), la empresa </w:t>
      </w:r>
      <w:proofErr w:type="spellStart"/>
      <w:r>
        <w:rPr>
          <w:rFonts w:ascii="Arial" w:hAnsi="Arial" w:cs="Arial"/>
          <w:sz w:val="24"/>
          <w:szCs w:val="24"/>
        </w:rPr>
        <w:t>Limpiolux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B62A7">
        <w:rPr>
          <w:rFonts w:ascii="Arial" w:hAnsi="Arial" w:cs="Arial"/>
          <w:sz w:val="24"/>
          <w:szCs w:val="24"/>
        </w:rPr>
        <w:t xml:space="preserve">S.A. </w:t>
      </w:r>
      <w:r>
        <w:rPr>
          <w:rFonts w:ascii="Arial" w:hAnsi="Arial" w:cs="Arial"/>
          <w:sz w:val="24"/>
          <w:szCs w:val="24"/>
        </w:rPr>
        <w:t>ha obtenido un total de 45 puntos</w:t>
      </w:r>
      <w:r w:rsidR="004575D2">
        <w:rPr>
          <w:rFonts w:ascii="Arial" w:hAnsi="Arial" w:cs="Arial"/>
          <w:sz w:val="24"/>
          <w:szCs w:val="24"/>
        </w:rPr>
        <w:t>.</w:t>
      </w:r>
    </w:p>
    <w:p w:rsidR="00AE4426" w:rsidRDefault="00AE4426" w:rsidP="00D2595E">
      <w:pPr>
        <w:jc w:val="both"/>
        <w:rPr>
          <w:rFonts w:ascii="Arial" w:hAnsi="Arial" w:cs="Arial"/>
          <w:sz w:val="24"/>
          <w:szCs w:val="24"/>
        </w:rPr>
      </w:pPr>
    </w:p>
    <w:p w:rsidR="00DB62A7" w:rsidRDefault="00DB62A7" w:rsidP="00D2595E">
      <w:pPr>
        <w:jc w:val="both"/>
        <w:rPr>
          <w:rFonts w:ascii="Arial" w:hAnsi="Arial" w:cs="Arial"/>
          <w:sz w:val="24"/>
          <w:szCs w:val="24"/>
        </w:rPr>
      </w:pPr>
    </w:p>
    <w:p w:rsidR="00AE4426" w:rsidRDefault="00495992" w:rsidP="00D259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2. </w:t>
      </w:r>
      <w:r w:rsidRPr="00495992">
        <w:rPr>
          <w:rFonts w:ascii="Arial" w:hAnsi="Arial" w:cs="Arial"/>
          <w:b/>
          <w:sz w:val="24"/>
          <w:szCs w:val="24"/>
          <w:u w:val="single"/>
        </w:rPr>
        <w:t>S</w:t>
      </w:r>
      <w:r w:rsidR="00AE4426">
        <w:rPr>
          <w:rFonts w:ascii="Arial" w:hAnsi="Arial" w:cs="Arial"/>
          <w:b/>
          <w:sz w:val="24"/>
          <w:szCs w:val="24"/>
          <w:u w:val="single"/>
        </w:rPr>
        <w:t>ULIMP</w:t>
      </w:r>
      <w:r>
        <w:rPr>
          <w:rFonts w:ascii="Arial" w:hAnsi="Arial" w:cs="Arial"/>
          <w:b/>
          <w:sz w:val="24"/>
          <w:szCs w:val="24"/>
          <w:u w:val="single"/>
        </w:rPr>
        <w:t xml:space="preserve"> S.A.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E4426" w:rsidRDefault="00AE4426" w:rsidP="00AE4426">
      <w:pPr>
        <w:jc w:val="both"/>
        <w:rPr>
          <w:rFonts w:ascii="Arial" w:hAnsi="Arial" w:cs="Arial"/>
          <w:sz w:val="24"/>
          <w:szCs w:val="24"/>
        </w:rPr>
      </w:pPr>
      <w:r w:rsidRPr="00904BEE">
        <w:rPr>
          <w:rFonts w:ascii="Arial" w:hAnsi="Arial" w:cs="Arial"/>
          <w:sz w:val="24"/>
          <w:szCs w:val="24"/>
        </w:rPr>
        <w:t xml:space="preserve">CUIT </w:t>
      </w:r>
      <w:r>
        <w:rPr>
          <w:rFonts w:ascii="Arial" w:hAnsi="Arial" w:cs="Arial"/>
          <w:sz w:val="24"/>
          <w:szCs w:val="24"/>
        </w:rPr>
        <w:t>30-55300452-3</w:t>
      </w:r>
    </w:p>
    <w:p w:rsidR="00AE4426" w:rsidRDefault="00AE4426" w:rsidP="00AE44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Dirección: </w:t>
      </w:r>
      <w:proofErr w:type="spellStart"/>
      <w:r>
        <w:rPr>
          <w:rFonts w:ascii="Arial" w:hAnsi="Arial" w:cs="Arial"/>
          <w:sz w:val="24"/>
          <w:szCs w:val="24"/>
        </w:rPr>
        <w:t>Segui</w:t>
      </w:r>
      <w:proofErr w:type="spellEnd"/>
      <w:r>
        <w:rPr>
          <w:rFonts w:ascii="Arial" w:hAnsi="Arial" w:cs="Arial"/>
          <w:sz w:val="24"/>
          <w:szCs w:val="24"/>
        </w:rPr>
        <w:t xml:space="preserve"> 1442/6</w:t>
      </w:r>
    </w:p>
    <w:p w:rsidR="00AE4426" w:rsidRDefault="00AE4426" w:rsidP="00AE442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Correo Electrónico: </w:t>
      </w:r>
      <w:hyperlink r:id="rId8" w:history="1">
        <w:r w:rsidRPr="009A68CA">
          <w:rPr>
            <w:rStyle w:val="Hipervnculo"/>
            <w:rFonts w:ascii="Arial" w:hAnsi="Arial" w:cs="Arial"/>
            <w:sz w:val="24"/>
            <w:szCs w:val="24"/>
          </w:rPr>
          <w:t>sulimp@sulimp.com.ar</w:t>
        </w:r>
      </w:hyperlink>
    </w:p>
    <w:p w:rsidR="004575D2" w:rsidRDefault="004575D2" w:rsidP="004575D2">
      <w:pPr>
        <w:jc w:val="both"/>
        <w:rPr>
          <w:rFonts w:ascii="Arial" w:hAnsi="Arial" w:cs="Arial"/>
          <w:sz w:val="24"/>
          <w:szCs w:val="24"/>
        </w:rPr>
      </w:pPr>
    </w:p>
    <w:p w:rsidR="004575D2" w:rsidRDefault="004575D2" w:rsidP="004575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3311/3312 luce la oferta económica por un monto total de pesos veintitrés millones quinientos cuarenta y siete mil ochocientos cuarenta ($23.547.840.-), la que se encuentra un 2,2% por encima del presupuesto oficial, dentro los parámetros de adjudicación fijados por los órganos correspondientes.</w:t>
      </w:r>
    </w:p>
    <w:p w:rsidR="004575D2" w:rsidRDefault="004575D2" w:rsidP="004575D2">
      <w:pPr>
        <w:jc w:val="both"/>
        <w:rPr>
          <w:rFonts w:ascii="Arial" w:hAnsi="Arial" w:cs="Arial"/>
          <w:sz w:val="24"/>
          <w:szCs w:val="24"/>
        </w:rPr>
      </w:pPr>
    </w:p>
    <w:p w:rsidR="004575D2" w:rsidRDefault="004575D2" w:rsidP="004575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fs. 3314, se agregan la estructura de costos y el detalle de estructura de costos de la mano de obra.</w:t>
      </w:r>
    </w:p>
    <w:p w:rsidR="004575D2" w:rsidRDefault="004575D2" w:rsidP="004575D2">
      <w:pPr>
        <w:jc w:val="both"/>
        <w:rPr>
          <w:rFonts w:ascii="Arial" w:hAnsi="Arial" w:cs="Arial"/>
          <w:sz w:val="24"/>
          <w:szCs w:val="24"/>
        </w:rPr>
      </w:pPr>
    </w:p>
    <w:p w:rsidR="004575D2" w:rsidRDefault="004575D2" w:rsidP="004575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los criterios de ponderación establecidos </w:t>
      </w:r>
      <w:r w:rsidR="0093282C">
        <w:rPr>
          <w:rFonts w:ascii="Arial" w:hAnsi="Arial" w:cs="Arial"/>
          <w:sz w:val="24"/>
          <w:szCs w:val="24"/>
        </w:rPr>
        <w:t xml:space="preserve">en el PCP </w:t>
      </w:r>
      <w:r>
        <w:rPr>
          <w:rFonts w:ascii="Arial" w:hAnsi="Arial" w:cs="Arial"/>
          <w:sz w:val="24"/>
          <w:szCs w:val="24"/>
        </w:rPr>
        <w:t xml:space="preserve">para el Sobre Nº2, teniendo en cuenta el monto ofertado corresponde otorgar </w:t>
      </w:r>
      <w:r w:rsidR="00A86174">
        <w:rPr>
          <w:rFonts w:ascii="Arial" w:hAnsi="Arial" w:cs="Arial"/>
          <w:sz w:val="24"/>
          <w:szCs w:val="24"/>
        </w:rPr>
        <w:t>a esta empresa 8</w:t>
      </w:r>
      <w:r>
        <w:rPr>
          <w:rFonts w:ascii="Arial" w:hAnsi="Arial" w:cs="Arial"/>
          <w:sz w:val="24"/>
          <w:szCs w:val="24"/>
        </w:rPr>
        <w:t xml:space="preserve"> puntos.</w:t>
      </w:r>
    </w:p>
    <w:p w:rsidR="004575D2" w:rsidRDefault="004575D2" w:rsidP="004575D2">
      <w:pPr>
        <w:jc w:val="both"/>
        <w:rPr>
          <w:rFonts w:ascii="Arial" w:hAnsi="Arial" w:cs="Arial"/>
          <w:sz w:val="24"/>
          <w:szCs w:val="24"/>
        </w:rPr>
      </w:pPr>
    </w:p>
    <w:p w:rsidR="004575D2" w:rsidRDefault="004575D2" w:rsidP="004575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 suma del puntaje del Sobre Nº1 (3</w:t>
      </w:r>
      <w:r w:rsidR="00DB62A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puntos) y el Sobre Nº2 (</w:t>
      </w:r>
      <w:r w:rsidR="00DB62A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puntos), la empresa </w:t>
      </w:r>
      <w:proofErr w:type="spellStart"/>
      <w:r w:rsidR="00DB62A7">
        <w:rPr>
          <w:rFonts w:ascii="Arial" w:hAnsi="Arial" w:cs="Arial"/>
          <w:sz w:val="24"/>
          <w:szCs w:val="24"/>
        </w:rPr>
        <w:t>Sulimp</w:t>
      </w:r>
      <w:proofErr w:type="spellEnd"/>
      <w:r w:rsidR="00DB62A7">
        <w:rPr>
          <w:rFonts w:ascii="Arial" w:hAnsi="Arial" w:cs="Arial"/>
          <w:sz w:val="24"/>
          <w:szCs w:val="24"/>
        </w:rPr>
        <w:t xml:space="preserve"> S.A. </w:t>
      </w:r>
      <w:r>
        <w:rPr>
          <w:rFonts w:ascii="Arial" w:hAnsi="Arial" w:cs="Arial"/>
          <w:sz w:val="24"/>
          <w:szCs w:val="24"/>
        </w:rPr>
        <w:t>ha obtenido un total de 4</w:t>
      </w:r>
      <w:r w:rsidR="002E505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puntos.</w:t>
      </w:r>
    </w:p>
    <w:p w:rsidR="004575D2" w:rsidRDefault="004575D2" w:rsidP="00AE442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B62A7" w:rsidRDefault="00DB62A7" w:rsidP="00AE442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E4426" w:rsidRPr="00AE4426" w:rsidRDefault="004F6B0E" w:rsidP="00AE44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AE4426" w:rsidRPr="00AE4426">
        <w:rPr>
          <w:rFonts w:ascii="Arial" w:hAnsi="Arial" w:cs="Arial"/>
          <w:b/>
          <w:sz w:val="24"/>
          <w:szCs w:val="24"/>
          <w:u w:val="single"/>
        </w:rPr>
        <w:t>. LA MANTO</w:t>
      </w:r>
      <w:r w:rsidR="00AE4426">
        <w:rPr>
          <w:rFonts w:ascii="Arial" w:hAnsi="Arial" w:cs="Arial"/>
          <w:b/>
          <w:sz w:val="24"/>
          <w:szCs w:val="24"/>
          <w:u w:val="single"/>
        </w:rPr>
        <w:t>VANA DE SERVICIOS GENERALES S.A.</w:t>
      </w:r>
    </w:p>
    <w:p w:rsidR="00AE4426" w:rsidRDefault="00AE4426" w:rsidP="00AE4426">
      <w:pPr>
        <w:jc w:val="both"/>
        <w:rPr>
          <w:rFonts w:ascii="Arial" w:hAnsi="Arial" w:cs="Arial"/>
          <w:sz w:val="24"/>
          <w:szCs w:val="24"/>
        </w:rPr>
      </w:pPr>
      <w:r w:rsidRPr="00904BEE">
        <w:rPr>
          <w:rFonts w:ascii="Arial" w:hAnsi="Arial" w:cs="Arial"/>
          <w:sz w:val="24"/>
          <w:szCs w:val="24"/>
        </w:rPr>
        <w:t xml:space="preserve">CUIT </w:t>
      </w:r>
      <w:r>
        <w:rPr>
          <w:rFonts w:ascii="Arial" w:hAnsi="Arial" w:cs="Arial"/>
          <w:sz w:val="24"/>
          <w:szCs w:val="24"/>
        </w:rPr>
        <w:t>30-69605181-6</w:t>
      </w:r>
    </w:p>
    <w:p w:rsidR="00AE4426" w:rsidRDefault="00AE4426" w:rsidP="00AE44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Dirección: </w:t>
      </w:r>
      <w:r w:rsidR="002E5050">
        <w:rPr>
          <w:rFonts w:ascii="Arial" w:hAnsi="Arial" w:cs="Arial"/>
          <w:sz w:val="24"/>
          <w:szCs w:val="24"/>
        </w:rPr>
        <w:t>Constitución</w:t>
      </w:r>
      <w:r w:rsidR="004F6B0E">
        <w:rPr>
          <w:rFonts w:ascii="Arial" w:hAnsi="Arial" w:cs="Arial"/>
          <w:sz w:val="24"/>
          <w:szCs w:val="24"/>
        </w:rPr>
        <w:t xml:space="preserve"> 4268</w:t>
      </w:r>
    </w:p>
    <w:p w:rsidR="00AE4426" w:rsidRDefault="00AE4426" w:rsidP="00AE442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Correo Electrónico:</w:t>
      </w:r>
      <w:r w:rsidR="004F6B0E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history="1">
        <w:r w:rsidR="004F6B0E" w:rsidRPr="009A68CA">
          <w:rPr>
            <w:rStyle w:val="Hipervnculo"/>
            <w:rFonts w:ascii="Arial" w:hAnsi="Arial" w:cs="Arial"/>
            <w:sz w:val="24"/>
            <w:szCs w:val="24"/>
          </w:rPr>
          <w:t>lamantovana@speedy.com.ar</w:t>
        </w:r>
      </w:hyperlink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3316/3318 luce la oferta económica por un monto total de pesos veinticinco millones quinientos mil cuatrocientos ochenta ($25.500.480), la que se encuentra un 10,6% por encima del presupuesto oficial, dentro los parámetros de adjudicación fijados por los órganos correspondientes.</w:t>
      </w: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3322, se agrega la estructura de costos.</w:t>
      </w: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3323 luce el detalle de estructura de costos de la mano de obra.</w:t>
      </w: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los criterios de ponderación establecidos</w:t>
      </w:r>
      <w:r w:rsidR="002E5050">
        <w:rPr>
          <w:rFonts w:ascii="Arial" w:hAnsi="Arial" w:cs="Arial"/>
          <w:sz w:val="24"/>
          <w:szCs w:val="24"/>
        </w:rPr>
        <w:t xml:space="preserve"> en el P</w:t>
      </w:r>
      <w:r w:rsidR="0093282C">
        <w:rPr>
          <w:rFonts w:ascii="Arial" w:hAnsi="Arial" w:cs="Arial"/>
          <w:sz w:val="24"/>
          <w:szCs w:val="24"/>
        </w:rPr>
        <w:t>CP</w:t>
      </w:r>
      <w:r>
        <w:rPr>
          <w:rFonts w:ascii="Arial" w:hAnsi="Arial" w:cs="Arial"/>
          <w:sz w:val="24"/>
          <w:szCs w:val="24"/>
        </w:rPr>
        <w:t xml:space="preserve"> para el Sobre Nº2, teniendo en cuenta el monto ofertado corresponde otorgar a esta empresa 4 puntos.</w:t>
      </w: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 suma del puntaje del Sobre Nº1 (41 puntos) y el Sobre Nº2 (4 puntos), la empresa </w:t>
      </w:r>
      <w:r w:rsidR="004D0F07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4D0F07">
        <w:rPr>
          <w:rFonts w:ascii="Arial" w:hAnsi="Arial" w:cs="Arial"/>
          <w:sz w:val="24"/>
          <w:szCs w:val="24"/>
        </w:rPr>
        <w:t>Mantovana</w:t>
      </w:r>
      <w:proofErr w:type="spellEnd"/>
      <w:r w:rsidR="004D0F07">
        <w:rPr>
          <w:rFonts w:ascii="Arial" w:hAnsi="Arial" w:cs="Arial"/>
          <w:sz w:val="24"/>
          <w:szCs w:val="24"/>
        </w:rPr>
        <w:t xml:space="preserve"> de Servicios Generales S.A. </w:t>
      </w:r>
      <w:r>
        <w:rPr>
          <w:rFonts w:ascii="Arial" w:hAnsi="Arial" w:cs="Arial"/>
          <w:sz w:val="24"/>
          <w:szCs w:val="24"/>
        </w:rPr>
        <w:t>ha obtenido un total de 45 puntos</w:t>
      </w:r>
    </w:p>
    <w:p w:rsidR="00DB62A7" w:rsidRDefault="00DB62A7" w:rsidP="00AE442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B62A7" w:rsidRPr="00904BEE" w:rsidRDefault="00DB62A7" w:rsidP="00AE442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F6B0E" w:rsidRDefault="004F6B0E" w:rsidP="004F6B0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4. SERVICIO DE LIMPIEZA Y MANTENIMIENTO S.A.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F6B0E" w:rsidRDefault="004F6B0E" w:rsidP="004F6B0E">
      <w:pPr>
        <w:jc w:val="both"/>
        <w:rPr>
          <w:rFonts w:ascii="Arial" w:hAnsi="Arial" w:cs="Arial"/>
          <w:sz w:val="24"/>
          <w:szCs w:val="24"/>
        </w:rPr>
      </w:pPr>
      <w:r w:rsidRPr="00904BEE">
        <w:rPr>
          <w:rFonts w:ascii="Arial" w:hAnsi="Arial" w:cs="Arial"/>
          <w:sz w:val="24"/>
          <w:szCs w:val="24"/>
        </w:rPr>
        <w:t xml:space="preserve">CUIT </w:t>
      </w:r>
      <w:r>
        <w:rPr>
          <w:rFonts w:ascii="Arial" w:hAnsi="Arial" w:cs="Arial"/>
          <w:sz w:val="24"/>
          <w:szCs w:val="24"/>
        </w:rPr>
        <w:t>30-70173721-7</w:t>
      </w:r>
    </w:p>
    <w:p w:rsidR="004F6B0E" w:rsidRDefault="004F6B0E" w:rsidP="004F6B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Dirección: </w:t>
      </w:r>
      <w:proofErr w:type="spellStart"/>
      <w:r>
        <w:rPr>
          <w:rFonts w:ascii="Arial" w:hAnsi="Arial" w:cs="Arial"/>
          <w:sz w:val="24"/>
          <w:szCs w:val="24"/>
        </w:rPr>
        <w:t>Beauchef</w:t>
      </w:r>
      <w:proofErr w:type="spellEnd"/>
      <w:r>
        <w:rPr>
          <w:rFonts w:ascii="Arial" w:hAnsi="Arial" w:cs="Arial"/>
          <w:sz w:val="24"/>
          <w:szCs w:val="24"/>
        </w:rPr>
        <w:t xml:space="preserve"> 1016, PB</w:t>
      </w:r>
    </w:p>
    <w:p w:rsidR="004F6B0E" w:rsidRDefault="004F6B0E" w:rsidP="004F6B0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Correo Electrónico: </w:t>
      </w:r>
      <w:hyperlink r:id="rId10" w:history="1">
        <w:r w:rsidRPr="009A68CA">
          <w:rPr>
            <w:rStyle w:val="Hipervnculo"/>
            <w:rFonts w:ascii="Arial" w:hAnsi="Arial" w:cs="Arial"/>
            <w:sz w:val="24"/>
            <w:szCs w:val="24"/>
          </w:rPr>
          <w:t>comercial@ecolimp-servicios.com.ar</w:t>
        </w:r>
      </w:hyperlink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</w:t>
      </w:r>
      <w:r w:rsidR="001C56E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7/33</w:t>
      </w:r>
      <w:r w:rsidR="001C56E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8 luce la oferta económica por un monto total de pesos </w:t>
      </w:r>
      <w:r w:rsidR="001C56E6">
        <w:rPr>
          <w:rFonts w:ascii="Arial" w:hAnsi="Arial" w:cs="Arial"/>
          <w:sz w:val="24"/>
          <w:szCs w:val="24"/>
        </w:rPr>
        <w:t>veintiún millones sesenta y sie</w:t>
      </w:r>
      <w:r w:rsidR="00F6589D">
        <w:rPr>
          <w:rFonts w:ascii="Arial" w:hAnsi="Arial" w:cs="Arial"/>
          <w:sz w:val="24"/>
          <w:szCs w:val="24"/>
        </w:rPr>
        <w:t>te mil doscientos ($21.067.200</w:t>
      </w:r>
      <w:r w:rsidR="001C56E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</w:t>
      </w:r>
      <w:r w:rsidR="001C56E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9, se agrega la estructura de costos.</w:t>
      </w: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</w:p>
    <w:p w:rsidR="00DB62A7" w:rsidRDefault="001C56E6" w:rsidP="00DB6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333</w:t>
      </w:r>
      <w:r w:rsidR="00DB62A7">
        <w:rPr>
          <w:rFonts w:ascii="Arial" w:hAnsi="Arial" w:cs="Arial"/>
          <w:sz w:val="24"/>
          <w:szCs w:val="24"/>
        </w:rPr>
        <w:t>0 luce el detalle de estructura de costos de la mano de obra.</w:t>
      </w: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</w:p>
    <w:p w:rsidR="001C56E6" w:rsidRDefault="001C56E6" w:rsidP="00DB6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fs. 3331 se agrega el mantenimiento de oferta por el plazo de 60 </w:t>
      </w:r>
      <w:r w:rsidR="004D0F07">
        <w:rPr>
          <w:rFonts w:ascii="Arial" w:hAnsi="Arial" w:cs="Arial"/>
          <w:sz w:val="24"/>
          <w:szCs w:val="24"/>
        </w:rPr>
        <w:t>días</w:t>
      </w:r>
      <w:r>
        <w:rPr>
          <w:rFonts w:ascii="Arial" w:hAnsi="Arial" w:cs="Arial"/>
          <w:sz w:val="24"/>
          <w:szCs w:val="24"/>
        </w:rPr>
        <w:t>.</w:t>
      </w:r>
    </w:p>
    <w:p w:rsidR="001C56E6" w:rsidRDefault="001C56E6" w:rsidP="00DB62A7">
      <w:pPr>
        <w:jc w:val="both"/>
        <w:rPr>
          <w:rFonts w:ascii="Arial" w:hAnsi="Arial" w:cs="Arial"/>
          <w:sz w:val="24"/>
          <w:szCs w:val="24"/>
        </w:rPr>
      </w:pP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los criterios de ponderación establecidos </w:t>
      </w:r>
      <w:r w:rsidR="002E5050">
        <w:rPr>
          <w:rFonts w:ascii="Arial" w:hAnsi="Arial" w:cs="Arial"/>
          <w:sz w:val="24"/>
          <w:szCs w:val="24"/>
        </w:rPr>
        <w:t>en el P</w:t>
      </w:r>
      <w:r w:rsidR="0093282C">
        <w:rPr>
          <w:rFonts w:ascii="Arial" w:hAnsi="Arial" w:cs="Arial"/>
          <w:sz w:val="24"/>
          <w:szCs w:val="24"/>
        </w:rPr>
        <w:t xml:space="preserve">CP </w:t>
      </w:r>
      <w:r>
        <w:rPr>
          <w:rFonts w:ascii="Arial" w:hAnsi="Arial" w:cs="Arial"/>
          <w:sz w:val="24"/>
          <w:szCs w:val="24"/>
        </w:rPr>
        <w:t xml:space="preserve">para el Sobre Nº2, teniendo en cuenta el monto ofertado corresponde otorgar </w:t>
      </w:r>
      <w:r w:rsidR="00A671CA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puntos</w:t>
      </w:r>
      <w:r w:rsidR="0093282C">
        <w:rPr>
          <w:rFonts w:ascii="Arial" w:hAnsi="Arial" w:cs="Arial"/>
          <w:sz w:val="24"/>
          <w:szCs w:val="24"/>
        </w:rPr>
        <w:t xml:space="preserve"> a esta empresa</w:t>
      </w:r>
      <w:r>
        <w:rPr>
          <w:rFonts w:ascii="Arial" w:hAnsi="Arial" w:cs="Arial"/>
          <w:sz w:val="24"/>
          <w:szCs w:val="24"/>
        </w:rPr>
        <w:t>.</w:t>
      </w: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</w:p>
    <w:p w:rsidR="00DB62A7" w:rsidRDefault="00DB62A7" w:rsidP="00DB6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 suma del puntaje del Sobre Nº1 (3</w:t>
      </w:r>
      <w:r w:rsidR="004D0F0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puntos) y el Sobre Nº2 (</w:t>
      </w:r>
      <w:r w:rsidR="004D0F0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puntos), la empresa </w:t>
      </w:r>
      <w:r w:rsidR="004D0F07">
        <w:rPr>
          <w:rFonts w:ascii="Arial" w:hAnsi="Arial" w:cs="Arial"/>
          <w:sz w:val="24"/>
          <w:szCs w:val="24"/>
        </w:rPr>
        <w:t xml:space="preserve">Servicios de Limpieza y Mantenimiento S.A. </w:t>
      </w:r>
      <w:r>
        <w:rPr>
          <w:rFonts w:ascii="Arial" w:hAnsi="Arial" w:cs="Arial"/>
          <w:sz w:val="24"/>
          <w:szCs w:val="24"/>
        </w:rPr>
        <w:t>ha obtenido un total de 4</w:t>
      </w:r>
      <w:r w:rsidR="004D0F0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puntos</w:t>
      </w:r>
      <w:r w:rsidR="004D0F07">
        <w:rPr>
          <w:rFonts w:ascii="Arial" w:hAnsi="Arial" w:cs="Arial"/>
          <w:sz w:val="24"/>
          <w:szCs w:val="24"/>
        </w:rPr>
        <w:t>.</w:t>
      </w:r>
    </w:p>
    <w:p w:rsidR="00DB62A7" w:rsidRDefault="00DB62A7" w:rsidP="004F6B0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B62A7" w:rsidRDefault="00DB62A7" w:rsidP="004F6B0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F6B0E" w:rsidRDefault="004F6B0E" w:rsidP="004F6B0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5. FLOOR CLEAN S.R.L.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F6B0E" w:rsidRDefault="004F6B0E" w:rsidP="004F6B0E">
      <w:pPr>
        <w:jc w:val="both"/>
        <w:rPr>
          <w:rFonts w:ascii="Arial" w:hAnsi="Arial" w:cs="Arial"/>
          <w:sz w:val="24"/>
          <w:szCs w:val="24"/>
        </w:rPr>
      </w:pPr>
      <w:r w:rsidRPr="00904BEE">
        <w:rPr>
          <w:rFonts w:ascii="Arial" w:hAnsi="Arial" w:cs="Arial"/>
          <w:sz w:val="24"/>
          <w:szCs w:val="24"/>
        </w:rPr>
        <w:t xml:space="preserve">CUIT </w:t>
      </w:r>
      <w:r>
        <w:rPr>
          <w:rFonts w:ascii="Arial" w:hAnsi="Arial" w:cs="Arial"/>
          <w:sz w:val="24"/>
          <w:szCs w:val="24"/>
        </w:rPr>
        <w:t>30-687677470-8</w:t>
      </w:r>
    </w:p>
    <w:p w:rsidR="004F6B0E" w:rsidRDefault="004F6B0E" w:rsidP="004F6B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Dirección: Carabobo 421</w:t>
      </w:r>
    </w:p>
    <w:p w:rsidR="004F6B0E" w:rsidRPr="00904BEE" w:rsidRDefault="004F6B0E" w:rsidP="004F6B0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Correo Electrónico: licitaciones@floorclean.com.ar</w:t>
      </w:r>
    </w:p>
    <w:p w:rsidR="004F6B0E" w:rsidRDefault="004F6B0E" w:rsidP="00D2595E">
      <w:pPr>
        <w:jc w:val="both"/>
        <w:rPr>
          <w:rFonts w:ascii="Arial" w:hAnsi="Arial" w:cs="Arial"/>
          <w:sz w:val="24"/>
          <w:szCs w:val="24"/>
        </w:rPr>
      </w:pPr>
    </w:p>
    <w:p w:rsidR="004D0F07" w:rsidRDefault="004D0F07" w:rsidP="004D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3333 luce la oferta económica por un monto total de pesos veinte millones novecientos treinta y seis mil ciento sesenta ($20.936.160.-). Se manifiesta que el plazo de mantenimiento de oferta será conforme al pliego de condiciones particulares.</w:t>
      </w:r>
    </w:p>
    <w:p w:rsidR="004D0F07" w:rsidRDefault="004D0F07" w:rsidP="004D0F07">
      <w:pPr>
        <w:jc w:val="both"/>
        <w:rPr>
          <w:rFonts w:ascii="Arial" w:hAnsi="Arial" w:cs="Arial"/>
          <w:sz w:val="24"/>
          <w:szCs w:val="24"/>
        </w:rPr>
      </w:pPr>
    </w:p>
    <w:p w:rsidR="004D0F07" w:rsidRDefault="004D0F07" w:rsidP="004D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</w:t>
      </w:r>
      <w:r w:rsidR="00D4130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5, se agrega la estructura de costos.</w:t>
      </w:r>
    </w:p>
    <w:p w:rsidR="004D0F07" w:rsidRDefault="004D0F07" w:rsidP="004D0F07">
      <w:pPr>
        <w:jc w:val="both"/>
        <w:rPr>
          <w:rFonts w:ascii="Arial" w:hAnsi="Arial" w:cs="Arial"/>
          <w:sz w:val="24"/>
          <w:szCs w:val="24"/>
        </w:rPr>
      </w:pPr>
    </w:p>
    <w:p w:rsidR="004D0F07" w:rsidRDefault="004D0F07" w:rsidP="004D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fs. 3337 luce el detalle de estructura de costos de la mano de obra.</w:t>
      </w:r>
    </w:p>
    <w:p w:rsidR="004D0F07" w:rsidRDefault="004D0F07" w:rsidP="004D0F07">
      <w:pPr>
        <w:jc w:val="both"/>
        <w:rPr>
          <w:rFonts w:ascii="Arial" w:hAnsi="Arial" w:cs="Arial"/>
          <w:sz w:val="24"/>
          <w:szCs w:val="24"/>
        </w:rPr>
      </w:pPr>
    </w:p>
    <w:p w:rsidR="004D0F07" w:rsidRDefault="004D0F07" w:rsidP="004D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los criterios de ponderación establecidos </w:t>
      </w:r>
      <w:r w:rsidR="002E5050">
        <w:rPr>
          <w:rFonts w:ascii="Arial" w:hAnsi="Arial" w:cs="Arial"/>
          <w:sz w:val="24"/>
          <w:szCs w:val="24"/>
        </w:rPr>
        <w:t>en el P</w:t>
      </w:r>
      <w:r w:rsidR="0093282C">
        <w:rPr>
          <w:rFonts w:ascii="Arial" w:hAnsi="Arial" w:cs="Arial"/>
          <w:sz w:val="24"/>
          <w:szCs w:val="24"/>
        </w:rPr>
        <w:t xml:space="preserve">CP </w:t>
      </w:r>
      <w:r>
        <w:rPr>
          <w:rFonts w:ascii="Arial" w:hAnsi="Arial" w:cs="Arial"/>
          <w:sz w:val="24"/>
          <w:szCs w:val="24"/>
        </w:rPr>
        <w:t>para el Sobre Nº2, teniendo en cuenta el monto ofertado corresponde otorgar 12 puntos a la presente empresa.</w:t>
      </w:r>
    </w:p>
    <w:p w:rsidR="004D0F07" w:rsidRDefault="004D0F07" w:rsidP="004D0F07">
      <w:pPr>
        <w:jc w:val="both"/>
        <w:rPr>
          <w:rFonts w:ascii="Arial" w:hAnsi="Arial" w:cs="Arial"/>
          <w:sz w:val="24"/>
          <w:szCs w:val="24"/>
        </w:rPr>
      </w:pPr>
    </w:p>
    <w:p w:rsidR="00D2595E" w:rsidRDefault="004D0F07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 suma del puntaje del Sobre Nº1 (32 puntos) y el Sobre Nº2 (12 puntos), la empresa </w:t>
      </w:r>
      <w:proofErr w:type="spellStart"/>
      <w:r>
        <w:rPr>
          <w:rFonts w:ascii="Arial" w:hAnsi="Arial" w:cs="Arial"/>
          <w:sz w:val="24"/>
          <w:szCs w:val="24"/>
        </w:rPr>
        <w:t>Floor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Clean</w:t>
      </w:r>
      <w:proofErr w:type="spellEnd"/>
      <w:r>
        <w:rPr>
          <w:rFonts w:ascii="Arial" w:hAnsi="Arial" w:cs="Arial"/>
          <w:sz w:val="24"/>
          <w:szCs w:val="24"/>
        </w:rPr>
        <w:t xml:space="preserve"> S.R.L. ha obtenido un total de 44 puntos.</w:t>
      </w:r>
    </w:p>
    <w:p w:rsidR="0093282C" w:rsidRPr="00904BEE" w:rsidRDefault="0093282C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Pr="0087020D" w:rsidRDefault="00D2595E" w:rsidP="00D2595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04BEE">
        <w:rPr>
          <w:rFonts w:ascii="Arial" w:hAnsi="Arial" w:cs="Arial"/>
          <w:b/>
          <w:bCs/>
          <w:sz w:val="24"/>
          <w:szCs w:val="24"/>
          <w:u w:val="single"/>
        </w:rPr>
        <w:t>CONCLUSIÓN</w:t>
      </w: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  <w:r w:rsidRPr="00904BEE">
        <w:rPr>
          <w:rFonts w:ascii="Arial" w:hAnsi="Arial" w:cs="Arial"/>
          <w:sz w:val="24"/>
          <w:szCs w:val="24"/>
        </w:rPr>
        <w:t>Del análisis practicado sobre la docum</w:t>
      </w:r>
      <w:r>
        <w:rPr>
          <w:rFonts w:ascii="Arial" w:hAnsi="Arial" w:cs="Arial"/>
          <w:sz w:val="24"/>
          <w:szCs w:val="24"/>
        </w:rPr>
        <w:t>entación contenida en el sobre Nº 02 presentado</w:t>
      </w:r>
      <w:r w:rsidRPr="00904BEE">
        <w:rPr>
          <w:rFonts w:ascii="Arial" w:hAnsi="Arial" w:cs="Arial"/>
          <w:sz w:val="24"/>
          <w:szCs w:val="24"/>
        </w:rPr>
        <w:t xml:space="preserve"> en la Licitación Pública </w:t>
      </w:r>
      <w:r>
        <w:rPr>
          <w:rFonts w:ascii="Arial" w:hAnsi="Arial" w:cs="Arial"/>
          <w:sz w:val="24"/>
          <w:szCs w:val="24"/>
        </w:rPr>
        <w:t xml:space="preserve">Nº </w:t>
      </w:r>
      <w:r w:rsidR="00D4130B">
        <w:rPr>
          <w:rFonts w:ascii="Arial" w:hAnsi="Arial" w:cs="Arial"/>
          <w:sz w:val="24"/>
          <w:szCs w:val="24"/>
        </w:rPr>
        <w:t>6/2013</w:t>
      </w:r>
      <w:r w:rsidRPr="00904BEE">
        <w:rPr>
          <w:rFonts w:ascii="Arial" w:hAnsi="Arial" w:cs="Arial"/>
          <w:sz w:val="24"/>
          <w:szCs w:val="24"/>
        </w:rPr>
        <w:t xml:space="preserve"> resulta que </w:t>
      </w:r>
      <w:proofErr w:type="spellStart"/>
      <w:r w:rsidR="0093282C">
        <w:rPr>
          <w:rFonts w:ascii="Arial" w:hAnsi="Arial" w:cs="Arial"/>
          <w:sz w:val="24"/>
          <w:szCs w:val="24"/>
        </w:rPr>
        <w:t>Limpiolux</w:t>
      </w:r>
      <w:proofErr w:type="spellEnd"/>
      <w:r w:rsidR="0093282C">
        <w:rPr>
          <w:rFonts w:ascii="Arial" w:hAnsi="Arial" w:cs="Arial"/>
          <w:sz w:val="24"/>
          <w:szCs w:val="24"/>
        </w:rPr>
        <w:t xml:space="preserve"> S.A., </w:t>
      </w:r>
      <w:proofErr w:type="spellStart"/>
      <w:r w:rsidR="0093282C">
        <w:rPr>
          <w:rFonts w:ascii="Arial" w:hAnsi="Arial" w:cs="Arial"/>
          <w:sz w:val="24"/>
          <w:szCs w:val="24"/>
        </w:rPr>
        <w:t>Sulimp</w:t>
      </w:r>
      <w:proofErr w:type="spellEnd"/>
      <w:r w:rsidR="0093282C">
        <w:rPr>
          <w:rFonts w:ascii="Arial" w:hAnsi="Arial" w:cs="Arial"/>
          <w:sz w:val="24"/>
          <w:szCs w:val="24"/>
        </w:rPr>
        <w:t xml:space="preserve"> S.A., La </w:t>
      </w:r>
      <w:proofErr w:type="spellStart"/>
      <w:r w:rsidR="0093282C">
        <w:rPr>
          <w:rFonts w:ascii="Arial" w:hAnsi="Arial" w:cs="Arial"/>
          <w:sz w:val="24"/>
          <w:szCs w:val="24"/>
        </w:rPr>
        <w:t>Mantovana</w:t>
      </w:r>
      <w:proofErr w:type="spellEnd"/>
      <w:r w:rsidR="0093282C">
        <w:rPr>
          <w:rFonts w:ascii="Arial" w:hAnsi="Arial" w:cs="Arial"/>
          <w:sz w:val="24"/>
          <w:szCs w:val="24"/>
        </w:rPr>
        <w:t xml:space="preserve"> de Servicios </w:t>
      </w:r>
      <w:r w:rsidR="0093282C">
        <w:rPr>
          <w:rFonts w:ascii="Arial" w:hAnsi="Arial" w:cs="Arial"/>
          <w:sz w:val="24"/>
          <w:szCs w:val="24"/>
        </w:rPr>
        <w:lastRenderedPageBreak/>
        <w:t xml:space="preserve">Generales S.A., Servicio de Limpieza y Mantenimiento S.A. y </w:t>
      </w:r>
      <w:proofErr w:type="spellStart"/>
      <w:r w:rsidR="0093282C">
        <w:rPr>
          <w:rFonts w:ascii="Arial" w:hAnsi="Arial" w:cs="Arial"/>
          <w:sz w:val="24"/>
          <w:szCs w:val="24"/>
        </w:rPr>
        <w:t>Floor</w:t>
      </w:r>
      <w:proofErr w:type="spellEnd"/>
      <w:r w:rsidR="00932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82C">
        <w:rPr>
          <w:rFonts w:ascii="Arial" w:hAnsi="Arial" w:cs="Arial"/>
          <w:sz w:val="24"/>
          <w:szCs w:val="24"/>
        </w:rPr>
        <w:t>Clean</w:t>
      </w:r>
      <w:proofErr w:type="spellEnd"/>
      <w:r w:rsidR="0093282C">
        <w:rPr>
          <w:rFonts w:ascii="Arial" w:hAnsi="Arial" w:cs="Arial"/>
          <w:sz w:val="24"/>
          <w:szCs w:val="24"/>
        </w:rPr>
        <w:t xml:space="preserve"> </w:t>
      </w:r>
      <w:r w:rsidR="00D4130B">
        <w:rPr>
          <w:rFonts w:ascii="Arial" w:hAnsi="Arial" w:cs="Arial"/>
          <w:sz w:val="24"/>
          <w:szCs w:val="24"/>
        </w:rPr>
        <w:t xml:space="preserve">S.R.L. </w:t>
      </w:r>
      <w:r w:rsidR="0093282C">
        <w:rPr>
          <w:rFonts w:ascii="Arial" w:hAnsi="Arial" w:cs="Arial"/>
          <w:sz w:val="24"/>
          <w:szCs w:val="24"/>
        </w:rPr>
        <w:t>han presentado ofertas admisibles.</w:t>
      </w:r>
    </w:p>
    <w:p w:rsidR="0093282C" w:rsidRDefault="0093282C" w:rsidP="00D2595E">
      <w:pPr>
        <w:jc w:val="both"/>
        <w:rPr>
          <w:rFonts w:ascii="Arial" w:hAnsi="Arial" w:cs="Arial"/>
          <w:sz w:val="24"/>
          <w:szCs w:val="24"/>
        </w:rPr>
      </w:pPr>
    </w:p>
    <w:p w:rsidR="0093282C" w:rsidRDefault="003461BE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Teniendo en cuenta </w:t>
      </w:r>
      <w:r w:rsidR="0093282C">
        <w:rPr>
          <w:rFonts w:ascii="Arial" w:hAnsi="Arial" w:cs="Arial"/>
          <w:sz w:val="24"/>
          <w:szCs w:val="24"/>
        </w:rPr>
        <w:t>los criterios de evaluación y selección de ofertas</w:t>
      </w:r>
      <w:r>
        <w:rPr>
          <w:rFonts w:ascii="Arial" w:hAnsi="Arial" w:cs="Arial"/>
          <w:sz w:val="24"/>
          <w:szCs w:val="24"/>
        </w:rPr>
        <w:t>,</w:t>
      </w:r>
      <w:r w:rsidR="0093282C">
        <w:rPr>
          <w:rFonts w:ascii="Arial" w:hAnsi="Arial" w:cs="Arial"/>
          <w:sz w:val="24"/>
          <w:szCs w:val="24"/>
        </w:rPr>
        <w:t xml:space="preserve"> establecidos en el Pliego de Bases y Condiciones Particulares y en el acta de fs. 264/265 los puntajes finales</w:t>
      </w:r>
      <w:r w:rsidR="00D610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obtenidos de la sumatoria de </w:t>
      </w:r>
      <w:r w:rsidR="00D610E5">
        <w:rPr>
          <w:rFonts w:ascii="Arial" w:hAnsi="Arial" w:cs="Arial"/>
          <w:sz w:val="24"/>
          <w:szCs w:val="24"/>
        </w:rPr>
        <w:t>los sobres Nº1 y Nº2</w:t>
      </w:r>
      <w:r>
        <w:rPr>
          <w:rFonts w:ascii="Arial" w:hAnsi="Arial" w:cs="Arial"/>
          <w:sz w:val="24"/>
          <w:szCs w:val="24"/>
        </w:rPr>
        <w:t>,</w:t>
      </w:r>
      <w:r w:rsidR="009328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son </w:t>
      </w:r>
      <w:r w:rsidR="0093282C">
        <w:rPr>
          <w:rFonts w:ascii="Arial" w:hAnsi="Arial" w:cs="Arial"/>
          <w:sz w:val="24"/>
          <w:szCs w:val="24"/>
        </w:rPr>
        <w:t>los que se detallan a continuación:</w:t>
      </w:r>
    </w:p>
    <w:p w:rsidR="002E5050" w:rsidRDefault="002E5050" w:rsidP="00D2595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552"/>
      </w:tblGrid>
      <w:tr w:rsidR="00D610E5" w:rsidTr="008B7702">
        <w:tc>
          <w:tcPr>
            <w:tcW w:w="2943" w:type="dxa"/>
          </w:tcPr>
          <w:p w:rsidR="00D610E5" w:rsidRDefault="00D610E5" w:rsidP="00D61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OFERENTE</w:t>
            </w:r>
          </w:p>
        </w:tc>
        <w:tc>
          <w:tcPr>
            <w:tcW w:w="2552" w:type="dxa"/>
          </w:tcPr>
          <w:p w:rsidR="00D610E5" w:rsidRDefault="00D610E5" w:rsidP="00D61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FINAL</w:t>
            </w:r>
          </w:p>
        </w:tc>
      </w:tr>
      <w:tr w:rsidR="00D610E5" w:rsidTr="008B7702">
        <w:tc>
          <w:tcPr>
            <w:tcW w:w="2943" w:type="dxa"/>
          </w:tcPr>
          <w:p w:rsidR="00D610E5" w:rsidRPr="00D610E5" w:rsidRDefault="00D610E5" w:rsidP="00D2595E">
            <w:pPr>
              <w:jc w:val="both"/>
              <w:rPr>
                <w:rFonts w:ascii="Arial" w:hAnsi="Arial" w:cs="Arial"/>
              </w:rPr>
            </w:pPr>
            <w:r w:rsidRPr="00D610E5">
              <w:rPr>
                <w:rFonts w:ascii="Arial" w:hAnsi="Arial" w:cs="Arial"/>
              </w:rPr>
              <w:t>Servicios de Limpieza y Mantenimiento S.A.</w:t>
            </w:r>
          </w:p>
        </w:tc>
        <w:tc>
          <w:tcPr>
            <w:tcW w:w="2552" w:type="dxa"/>
          </w:tcPr>
          <w:p w:rsidR="00D610E5" w:rsidRDefault="00D610E5" w:rsidP="00D61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  <w:p w:rsidR="008B7702" w:rsidRDefault="008B7702" w:rsidP="008B7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02">
              <w:rPr>
                <w:rFonts w:ascii="Arial" w:hAnsi="Arial" w:cs="Arial"/>
                <w:sz w:val="18"/>
                <w:szCs w:val="18"/>
              </w:rPr>
              <w:t>Sobre Nº1 38</w:t>
            </w:r>
            <w:r w:rsidR="002E505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7702">
              <w:rPr>
                <w:rFonts w:ascii="Arial" w:hAnsi="Arial" w:cs="Arial"/>
                <w:sz w:val="18"/>
                <w:szCs w:val="18"/>
              </w:rPr>
              <w:t>pts</w:t>
            </w:r>
            <w:proofErr w:type="spellEnd"/>
            <w:r w:rsidRPr="008B77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B7702" w:rsidRPr="008B7702" w:rsidRDefault="008B7702" w:rsidP="008B7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02">
              <w:rPr>
                <w:rFonts w:ascii="Arial" w:hAnsi="Arial" w:cs="Arial"/>
                <w:sz w:val="18"/>
                <w:szCs w:val="18"/>
              </w:rPr>
              <w:t>Sobre Nº</w:t>
            </w:r>
            <w:r>
              <w:rPr>
                <w:rFonts w:ascii="Arial" w:hAnsi="Arial" w:cs="Arial"/>
                <w:sz w:val="18"/>
                <w:szCs w:val="18"/>
              </w:rPr>
              <w:t>2 10</w:t>
            </w:r>
            <w:r w:rsidR="002E505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pts</w:t>
            </w:r>
            <w:proofErr w:type="spellEnd"/>
          </w:p>
        </w:tc>
      </w:tr>
      <w:tr w:rsidR="00D610E5" w:rsidTr="008B7702">
        <w:tc>
          <w:tcPr>
            <w:tcW w:w="2943" w:type="dxa"/>
          </w:tcPr>
          <w:p w:rsidR="00D610E5" w:rsidRPr="00D610E5" w:rsidRDefault="00D610E5" w:rsidP="00D259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proofErr w:type="spellStart"/>
            <w:r>
              <w:rPr>
                <w:rFonts w:ascii="Arial" w:hAnsi="Arial" w:cs="Arial"/>
              </w:rPr>
              <w:t>Mantovana</w:t>
            </w:r>
            <w:proofErr w:type="spellEnd"/>
            <w:r>
              <w:rPr>
                <w:rFonts w:ascii="Arial" w:hAnsi="Arial" w:cs="Arial"/>
              </w:rPr>
              <w:t xml:space="preserve"> de Servicios Generales S.A.</w:t>
            </w:r>
          </w:p>
        </w:tc>
        <w:tc>
          <w:tcPr>
            <w:tcW w:w="2552" w:type="dxa"/>
          </w:tcPr>
          <w:p w:rsidR="00D610E5" w:rsidRDefault="00D610E5" w:rsidP="00D61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8B7702" w:rsidRDefault="008B7702" w:rsidP="008B7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02">
              <w:rPr>
                <w:rFonts w:ascii="Arial" w:hAnsi="Arial" w:cs="Arial"/>
                <w:sz w:val="18"/>
                <w:szCs w:val="18"/>
              </w:rPr>
              <w:t xml:space="preserve">Sobre Nº1 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8B7702">
              <w:rPr>
                <w:rFonts w:ascii="Arial" w:hAnsi="Arial" w:cs="Arial"/>
                <w:sz w:val="18"/>
                <w:szCs w:val="18"/>
              </w:rPr>
              <w:t xml:space="preserve">pts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B7702" w:rsidRDefault="008B7702" w:rsidP="002E50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2">
              <w:rPr>
                <w:rFonts w:ascii="Arial" w:hAnsi="Arial" w:cs="Arial"/>
                <w:sz w:val="18"/>
                <w:szCs w:val="18"/>
              </w:rPr>
              <w:t>Sobre Nº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2E50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E505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pts</w:t>
            </w:r>
            <w:proofErr w:type="spellEnd"/>
          </w:p>
        </w:tc>
      </w:tr>
      <w:tr w:rsidR="00D610E5" w:rsidTr="008B7702">
        <w:tc>
          <w:tcPr>
            <w:tcW w:w="2943" w:type="dxa"/>
          </w:tcPr>
          <w:p w:rsidR="00D610E5" w:rsidRPr="00D610E5" w:rsidRDefault="00D610E5" w:rsidP="00D2595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Limpiolux</w:t>
            </w:r>
            <w:proofErr w:type="spellEnd"/>
            <w:r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2552" w:type="dxa"/>
          </w:tcPr>
          <w:p w:rsidR="00D610E5" w:rsidRDefault="00D610E5" w:rsidP="00D61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8B7702" w:rsidRDefault="008B7702" w:rsidP="008B7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02">
              <w:rPr>
                <w:rFonts w:ascii="Arial" w:hAnsi="Arial" w:cs="Arial"/>
                <w:sz w:val="18"/>
                <w:szCs w:val="18"/>
              </w:rPr>
              <w:t>Sobre Nº1</w:t>
            </w:r>
            <w:r>
              <w:rPr>
                <w:rFonts w:ascii="Arial" w:hAnsi="Arial" w:cs="Arial"/>
                <w:sz w:val="18"/>
                <w:szCs w:val="18"/>
              </w:rPr>
              <w:t xml:space="preserve"> 39 </w:t>
            </w:r>
            <w:proofErr w:type="spellStart"/>
            <w:r w:rsidRPr="008B7702">
              <w:rPr>
                <w:rFonts w:ascii="Arial" w:hAnsi="Arial" w:cs="Arial"/>
                <w:sz w:val="18"/>
                <w:szCs w:val="18"/>
              </w:rPr>
              <w:t>pts</w:t>
            </w:r>
            <w:proofErr w:type="spellEnd"/>
            <w:r w:rsidRPr="008B77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B7702" w:rsidRDefault="008B7702" w:rsidP="008B7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2">
              <w:rPr>
                <w:rFonts w:ascii="Arial" w:hAnsi="Arial" w:cs="Arial"/>
                <w:sz w:val="18"/>
                <w:szCs w:val="18"/>
              </w:rPr>
              <w:t>Sobre Nº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2E50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="002E505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pts</w:t>
            </w:r>
            <w:proofErr w:type="spellEnd"/>
          </w:p>
        </w:tc>
      </w:tr>
      <w:tr w:rsidR="00D610E5" w:rsidTr="008B7702">
        <w:tc>
          <w:tcPr>
            <w:tcW w:w="2943" w:type="dxa"/>
          </w:tcPr>
          <w:p w:rsidR="00D610E5" w:rsidRPr="00D610E5" w:rsidRDefault="00D610E5" w:rsidP="00D2595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Floor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Clean</w:t>
            </w:r>
            <w:proofErr w:type="spellEnd"/>
            <w:r>
              <w:rPr>
                <w:rFonts w:ascii="Arial" w:hAnsi="Arial" w:cs="Arial"/>
              </w:rPr>
              <w:t xml:space="preserve"> S.R.L.</w:t>
            </w:r>
          </w:p>
        </w:tc>
        <w:tc>
          <w:tcPr>
            <w:tcW w:w="2552" w:type="dxa"/>
          </w:tcPr>
          <w:p w:rsidR="00D610E5" w:rsidRDefault="00D610E5" w:rsidP="00D61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  <w:p w:rsidR="008B7702" w:rsidRDefault="008B7702" w:rsidP="008B7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02">
              <w:rPr>
                <w:rFonts w:ascii="Arial" w:hAnsi="Arial" w:cs="Arial"/>
                <w:sz w:val="18"/>
                <w:szCs w:val="18"/>
              </w:rPr>
              <w:t>Sobre Nº1 3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proofErr w:type="spellStart"/>
            <w:r w:rsidRPr="008B7702">
              <w:rPr>
                <w:rFonts w:ascii="Arial" w:hAnsi="Arial" w:cs="Arial"/>
                <w:sz w:val="18"/>
                <w:szCs w:val="18"/>
              </w:rPr>
              <w:t>pts</w:t>
            </w:r>
            <w:proofErr w:type="spellEnd"/>
            <w:r w:rsidRPr="008B77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B7702" w:rsidRDefault="008B7702" w:rsidP="008B7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2">
              <w:rPr>
                <w:rFonts w:ascii="Arial" w:hAnsi="Arial" w:cs="Arial"/>
                <w:sz w:val="18"/>
                <w:szCs w:val="18"/>
              </w:rPr>
              <w:t>Sobre Nº</w:t>
            </w:r>
            <w:r>
              <w:rPr>
                <w:rFonts w:ascii="Arial" w:hAnsi="Arial" w:cs="Arial"/>
                <w:sz w:val="18"/>
                <w:szCs w:val="18"/>
              </w:rPr>
              <w:t xml:space="preserve">2 12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pts</w:t>
            </w:r>
            <w:proofErr w:type="spellEnd"/>
          </w:p>
        </w:tc>
      </w:tr>
      <w:tr w:rsidR="00D610E5" w:rsidTr="008B7702">
        <w:tc>
          <w:tcPr>
            <w:tcW w:w="2943" w:type="dxa"/>
          </w:tcPr>
          <w:p w:rsidR="00D610E5" w:rsidRPr="00D610E5" w:rsidRDefault="00D610E5" w:rsidP="00D2595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Sulimp</w:t>
            </w:r>
            <w:proofErr w:type="spellEnd"/>
            <w:r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2552" w:type="dxa"/>
          </w:tcPr>
          <w:p w:rsidR="00D610E5" w:rsidRDefault="00D610E5" w:rsidP="00D61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  <w:p w:rsidR="008B7702" w:rsidRDefault="008B7702" w:rsidP="008B7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02">
              <w:rPr>
                <w:rFonts w:ascii="Arial" w:hAnsi="Arial" w:cs="Arial"/>
                <w:sz w:val="18"/>
                <w:szCs w:val="18"/>
              </w:rPr>
              <w:t>Sobre Nº1</w:t>
            </w:r>
            <w:r>
              <w:rPr>
                <w:rFonts w:ascii="Arial" w:hAnsi="Arial" w:cs="Arial"/>
                <w:sz w:val="18"/>
                <w:szCs w:val="18"/>
              </w:rPr>
              <w:t xml:space="preserve"> 35 </w:t>
            </w:r>
            <w:proofErr w:type="spellStart"/>
            <w:r w:rsidRPr="008B7702">
              <w:rPr>
                <w:rFonts w:ascii="Arial" w:hAnsi="Arial" w:cs="Arial"/>
                <w:sz w:val="18"/>
                <w:szCs w:val="18"/>
              </w:rPr>
              <w:t>pts</w:t>
            </w:r>
            <w:proofErr w:type="spellEnd"/>
            <w:r w:rsidRPr="008B77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B7702" w:rsidRDefault="008B7702" w:rsidP="002E50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2">
              <w:rPr>
                <w:rFonts w:ascii="Arial" w:hAnsi="Arial" w:cs="Arial"/>
                <w:sz w:val="18"/>
                <w:szCs w:val="18"/>
              </w:rPr>
              <w:t>Sobre Nº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2E505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2E505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pts</w:t>
            </w:r>
            <w:proofErr w:type="spellEnd"/>
          </w:p>
        </w:tc>
      </w:tr>
    </w:tbl>
    <w:p w:rsidR="0093282C" w:rsidRDefault="0093282C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Default="003461BE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lo establecido en el art. 20 del PBCP corresponde </w:t>
      </w:r>
      <w:proofErr w:type="spellStart"/>
      <w:r>
        <w:rPr>
          <w:rFonts w:ascii="Arial" w:hAnsi="Arial" w:cs="Arial"/>
          <w:sz w:val="24"/>
          <w:szCs w:val="24"/>
        </w:rPr>
        <w:t>preadjudicar</w:t>
      </w:r>
      <w:proofErr w:type="spellEnd"/>
      <w:r w:rsidR="00D075D3">
        <w:rPr>
          <w:rFonts w:ascii="Arial" w:hAnsi="Arial" w:cs="Arial"/>
          <w:sz w:val="24"/>
          <w:szCs w:val="24"/>
        </w:rPr>
        <w:t xml:space="preserve"> los renglones 1, 2 y 3 a las empresas que hubieran obtenido el puntaje más alto, correspondiendo el renglón 1 a la de mayor puntaje, el renglón 2 a la segunda, y el renglón tres a la que hubiera obtenido el tercer mejor puntaje.</w:t>
      </w:r>
    </w:p>
    <w:p w:rsidR="00D075D3" w:rsidRDefault="00D075D3" w:rsidP="00D2595E">
      <w:pPr>
        <w:jc w:val="both"/>
        <w:rPr>
          <w:rFonts w:ascii="Arial" w:hAnsi="Arial" w:cs="Arial"/>
          <w:sz w:val="24"/>
          <w:szCs w:val="24"/>
        </w:rPr>
      </w:pPr>
    </w:p>
    <w:p w:rsidR="00D075D3" w:rsidRDefault="00D075D3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como se desprende de la tabla de puntuación</w:t>
      </w:r>
      <w:r w:rsidR="00FA54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ha producido un empate en el segundo lugar entre las empresas La </w:t>
      </w:r>
      <w:proofErr w:type="spellStart"/>
      <w:r>
        <w:rPr>
          <w:rFonts w:ascii="Arial" w:hAnsi="Arial" w:cs="Arial"/>
          <w:sz w:val="24"/>
          <w:szCs w:val="24"/>
        </w:rPr>
        <w:t>Mantovana</w:t>
      </w:r>
      <w:proofErr w:type="spellEnd"/>
      <w:r>
        <w:rPr>
          <w:rFonts w:ascii="Arial" w:hAnsi="Arial" w:cs="Arial"/>
          <w:sz w:val="24"/>
          <w:szCs w:val="24"/>
        </w:rPr>
        <w:t xml:space="preserve"> de Servicios Generales S.A. y </w:t>
      </w:r>
      <w:proofErr w:type="spellStart"/>
      <w:r>
        <w:rPr>
          <w:rFonts w:ascii="Arial" w:hAnsi="Arial" w:cs="Arial"/>
          <w:sz w:val="24"/>
          <w:szCs w:val="24"/>
        </w:rPr>
        <w:t>Limpiolux</w:t>
      </w:r>
      <w:proofErr w:type="spellEnd"/>
      <w:r>
        <w:rPr>
          <w:rFonts w:ascii="Arial" w:hAnsi="Arial" w:cs="Arial"/>
          <w:sz w:val="24"/>
          <w:szCs w:val="24"/>
        </w:rPr>
        <w:t xml:space="preserve"> S.A.</w:t>
      </w:r>
    </w:p>
    <w:p w:rsidR="00D075D3" w:rsidRDefault="00D075D3" w:rsidP="00D2595E">
      <w:pPr>
        <w:jc w:val="both"/>
        <w:rPr>
          <w:rFonts w:ascii="Arial" w:hAnsi="Arial" w:cs="Arial"/>
          <w:sz w:val="24"/>
          <w:szCs w:val="24"/>
        </w:rPr>
      </w:pPr>
    </w:p>
    <w:p w:rsidR="00D075D3" w:rsidRDefault="00D075D3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forma de resolver dicha situación no se encuentra </w:t>
      </w:r>
      <w:r w:rsidR="00FA5439">
        <w:rPr>
          <w:rFonts w:ascii="Arial" w:hAnsi="Arial" w:cs="Arial"/>
          <w:sz w:val="24"/>
          <w:szCs w:val="24"/>
        </w:rPr>
        <w:t xml:space="preserve">prevista </w:t>
      </w:r>
      <w:r>
        <w:rPr>
          <w:rFonts w:ascii="Arial" w:hAnsi="Arial" w:cs="Arial"/>
          <w:sz w:val="24"/>
          <w:szCs w:val="24"/>
        </w:rPr>
        <w:t>en los pliegos respectivos.</w:t>
      </w:r>
    </w:p>
    <w:p w:rsidR="00D075D3" w:rsidRDefault="00D075D3" w:rsidP="00D2595E">
      <w:pPr>
        <w:jc w:val="both"/>
        <w:rPr>
          <w:rFonts w:ascii="Arial" w:hAnsi="Arial" w:cs="Arial"/>
          <w:sz w:val="24"/>
          <w:szCs w:val="24"/>
        </w:rPr>
      </w:pPr>
    </w:p>
    <w:p w:rsidR="00077953" w:rsidRDefault="00D075D3" w:rsidP="00F658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 </w:t>
      </w:r>
      <w:r w:rsidR="00F6589D">
        <w:rPr>
          <w:rFonts w:ascii="Arial" w:hAnsi="Arial" w:cs="Arial"/>
          <w:sz w:val="24"/>
          <w:szCs w:val="24"/>
        </w:rPr>
        <w:t xml:space="preserve">en la reglamentación de </w:t>
      </w:r>
      <w:r>
        <w:rPr>
          <w:rFonts w:ascii="Arial" w:hAnsi="Arial" w:cs="Arial"/>
          <w:sz w:val="24"/>
          <w:szCs w:val="24"/>
        </w:rPr>
        <w:t xml:space="preserve">la ley de compras </w:t>
      </w:r>
      <w:r w:rsidR="00F6589D">
        <w:rPr>
          <w:rFonts w:ascii="Arial" w:hAnsi="Arial" w:cs="Arial"/>
          <w:sz w:val="24"/>
          <w:szCs w:val="24"/>
        </w:rPr>
        <w:t xml:space="preserve">se </w:t>
      </w:r>
      <w:r w:rsidR="00077953">
        <w:rPr>
          <w:rFonts w:ascii="Arial" w:hAnsi="Arial" w:cs="Arial"/>
          <w:sz w:val="24"/>
          <w:szCs w:val="24"/>
        </w:rPr>
        <w:t xml:space="preserve">establece la forma </w:t>
      </w:r>
      <w:r>
        <w:rPr>
          <w:rFonts w:ascii="Arial" w:hAnsi="Arial" w:cs="Arial"/>
          <w:sz w:val="24"/>
          <w:szCs w:val="24"/>
        </w:rPr>
        <w:t xml:space="preserve">de proceder ante empates de ofertas en las contrataciones de un solo sobre, </w:t>
      </w:r>
      <w:r w:rsidR="00F6589D">
        <w:rPr>
          <w:rFonts w:ascii="Arial" w:hAnsi="Arial" w:cs="Arial"/>
          <w:sz w:val="24"/>
          <w:szCs w:val="24"/>
        </w:rPr>
        <w:t>no siendo posible recurrir al procedimiento establecido allí toda vez que el mismo se aplica al caso de igualdad de precios, situación que no se presenta en este procedimiento.</w:t>
      </w:r>
    </w:p>
    <w:p w:rsidR="00077953" w:rsidRDefault="00077953" w:rsidP="00D2595E">
      <w:pPr>
        <w:jc w:val="both"/>
        <w:rPr>
          <w:rFonts w:ascii="Arial" w:hAnsi="Arial" w:cs="Arial"/>
          <w:sz w:val="24"/>
          <w:szCs w:val="24"/>
        </w:rPr>
      </w:pPr>
    </w:p>
    <w:p w:rsidR="00F6589D" w:rsidRDefault="00F6589D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Elegir el mayor puntaje obtenido en un sobre </w:t>
      </w:r>
      <w:r w:rsidR="00D4130B">
        <w:rPr>
          <w:rFonts w:ascii="Arial" w:hAnsi="Arial" w:cs="Arial"/>
          <w:sz w:val="24"/>
          <w:szCs w:val="24"/>
        </w:rPr>
        <w:t>en detrimento del otro,</w:t>
      </w:r>
      <w:r>
        <w:rPr>
          <w:rFonts w:ascii="Arial" w:hAnsi="Arial" w:cs="Arial"/>
          <w:sz w:val="24"/>
          <w:szCs w:val="24"/>
        </w:rPr>
        <w:t xml:space="preserve"> vulnerar</w:t>
      </w:r>
      <w:r w:rsidR="00D4130B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a los principios que rigen el procedimiento de compras. </w:t>
      </w:r>
    </w:p>
    <w:p w:rsidR="00F6589D" w:rsidRDefault="00F6589D" w:rsidP="00D2595E">
      <w:pPr>
        <w:jc w:val="both"/>
        <w:rPr>
          <w:rFonts w:ascii="Arial" w:hAnsi="Arial" w:cs="Arial"/>
          <w:sz w:val="24"/>
          <w:szCs w:val="24"/>
        </w:rPr>
      </w:pPr>
    </w:p>
    <w:p w:rsidR="00DA27F0" w:rsidRDefault="00F6589D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</w:t>
      </w:r>
      <w:r w:rsidR="00D4130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smo</w:t>
      </w:r>
      <w:r w:rsidR="00FA5439">
        <w:rPr>
          <w:rFonts w:ascii="Arial" w:hAnsi="Arial" w:cs="Arial"/>
          <w:sz w:val="24"/>
          <w:szCs w:val="24"/>
        </w:rPr>
        <w:t>, n</w:t>
      </w:r>
      <w:r w:rsidR="00E96B26">
        <w:rPr>
          <w:rFonts w:ascii="Arial" w:hAnsi="Arial" w:cs="Arial"/>
          <w:sz w:val="24"/>
          <w:szCs w:val="24"/>
        </w:rPr>
        <w:t xml:space="preserve">o parece </w:t>
      </w:r>
      <w:r w:rsidR="00077953">
        <w:rPr>
          <w:rFonts w:ascii="Arial" w:hAnsi="Arial" w:cs="Arial"/>
          <w:sz w:val="24"/>
          <w:szCs w:val="24"/>
        </w:rPr>
        <w:t>razonable preferir la oferta m</w:t>
      </w:r>
      <w:r w:rsidR="00DA27F0">
        <w:rPr>
          <w:rFonts w:ascii="Arial" w:hAnsi="Arial" w:cs="Arial"/>
          <w:sz w:val="24"/>
          <w:szCs w:val="24"/>
        </w:rPr>
        <w:t>á</w:t>
      </w:r>
      <w:r w:rsidR="00077953">
        <w:rPr>
          <w:rFonts w:ascii="Arial" w:hAnsi="Arial" w:cs="Arial"/>
          <w:sz w:val="24"/>
          <w:szCs w:val="24"/>
        </w:rPr>
        <w:t xml:space="preserve">s económica por sobre la </w:t>
      </w:r>
      <w:r w:rsidR="00FA5439">
        <w:rPr>
          <w:rFonts w:ascii="Arial" w:hAnsi="Arial" w:cs="Arial"/>
          <w:sz w:val="24"/>
          <w:szCs w:val="24"/>
        </w:rPr>
        <w:t>de mayor valor,</w:t>
      </w:r>
      <w:r w:rsidR="00077953">
        <w:rPr>
          <w:rFonts w:ascii="Arial" w:hAnsi="Arial" w:cs="Arial"/>
          <w:sz w:val="24"/>
          <w:szCs w:val="24"/>
        </w:rPr>
        <w:t xml:space="preserve"> toda vez que para la presente contratación se ha optado por un sistema de doble sobre que combina para la selección de la oferta m</w:t>
      </w:r>
      <w:r w:rsidR="00DA27F0">
        <w:rPr>
          <w:rFonts w:ascii="Arial" w:hAnsi="Arial" w:cs="Arial"/>
          <w:sz w:val="24"/>
          <w:szCs w:val="24"/>
        </w:rPr>
        <w:t>á</w:t>
      </w:r>
      <w:r w:rsidR="00077953">
        <w:rPr>
          <w:rFonts w:ascii="Arial" w:hAnsi="Arial" w:cs="Arial"/>
          <w:sz w:val="24"/>
          <w:szCs w:val="24"/>
        </w:rPr>
        <w:t xml:space="preserve">s </w:t>
      </w:r>
      <w:r w:rsidR="00DA27F0">
        <w:rPr>
          <w:rFonts w:ascii="Arial" w:hAnsi="Arial" w:cs="Arial"/>
          <w:sz w:val="24"/>
          <w:szCs w:val="24"/>
        </w:rPr>
        <w:t>conveniente cuestiones vinculada</w:t>
      </w:r>
      <w:r w:rsidR="00077953">
        <w:rPr>
          <w:rFonts w:ascii="Arial" w:hAnsi="Arial" w:cs="Arial"/>
          <w:sz w:val="24"/>
          <w:szCs w:val="24"/>
        </w:rPr>
        <w:t xml:space="preserve">s a los antecedentes comerciales, capacidad </w:t>
      </w:r>
      <w:r w:rsidR="00130609">
        <w:rPr>
          <w:rFonts w:ascii="Arial" w:hAnsi="Arial" w:cs="Arial"/>
          <w:sz w:val="24"/>
          <w:szCs w:val="24"/>
        </w:rPr>
        <w:t>financiera</w:t>
      </w:r>
      <w:r w:rsidR="00077953">
        <w:rPr>
          <w:rFonts w:ascii="Arial" w:hAnsi="Arial" w:cs="Arial"/>
          <w:sz w:val="24"/>
          <w:szCs w:val="24"/>
        </w:rPr>
        <w:t xml:space="preserve">, certificaciones de calidad, plantel de empleados y </w:t>
      </w:r>
      <w:r w:rsidR="00DA27F0">
        <w:rPr>
          <w:rFonts w:ascii="Arial" w:hAnsi="Arial" w:cs="Arial"/>
          <w:sz w:val="24"/>
          <w:szCs w:val="24"/>
        </w:rPr>
        <w:t>la propuesta económica.</w:t>
      </w:r>
      <w:r w:rsidR="00E96B26">
        <w:rPr>
          <w:rFonts w:ascii="Arial" w:hAnsi="Arial" w:cs="Arial"/>
          <w:sz w:val="24"/>
          <w:szCs w:val="24"/>
        </w:rPr>
        <w:t xml:space="preserve"> </w:t>
      </w:r>
      <w:r w:rsidR="00DA27F0">
        <w:rPr>
          <w:rFonts w:ascii="Arial" w:hAnsi="Arial" w:cs="Arial"/>
          <w:sz w:val="24"/>
          <w:szCs w:val="24"/>
        </w:rPr>
        <w:t>Más aún si tenemos en cuenta que el sobre Nº1</w:t>
      </w:r>
      <w:r w:rsidR="00FA5439">
        <w:rPr>
          <w:rFonts w:ascii="Arial" w:hAnsi="Arial" w:cs="Arial"/>
          <w:sz w:val="24"/>
          <w:szCs w:val="24"/>
        </w:rPr>
        <w:t>, de antecedentes,</w:t>
      </w:r>
      <w:r w:rsidR="00DA27F0">
        <w:rPr>
          <w:rFonts w:ascii="Arial" w:hAnsi="Arial" w:cs="Arial"/>
          <w:sz w:val="24"/>
          <w:szCs w:val="24"/>
        </w:rPr>
        <w:t xml:space="preserve"> </w:t>
      </w:r>
      <w:r w:rsidR="00130609">
        <w:rPr>
          <w:rFonts w:ascii="Arial" w:hAnsi="Arial" w:cs="Arial"/>
          <w:sz w:val="24"/>
          <w:szCs w:val="24"/>
        </w:rPr>
        <w:t>repartía</w:t>
      </w:r>
      <w:r w:rsidR="00DA27F0">
        <w:rPr>
          <w:rFonts w:ascii="Arial" w:hAnsi="Arial" w:cs="Arial"/>
          <w:sz w:val="24"/>
          <w:szCs w:val="24"/>
        </w:rPr>
        <w:t xml:space="preserve"> 44 puntos como máximo en tanto que el sobre Nº2</w:t>
      </w:r>
      <w:r w:rsidR="00FA5439">
        <w:rPr>
          <w:rFonts w:ascii="Arial" w:hAnsi="Arial" w:cs="Arial"/>
          <w:sz w:val="24"/>
          <w:szCs w:val="24"/>
        </w:rPr>
        <w:t>, oferta económica,</w:t>
      </w:r>
      <w:r w:rsidR="00DA27F0">
        <w:rPr>
          <w:rFonts w:ascii="Arial" w:hAnsi="Arial" w:cs="Arial"/>
          <w:sz w:val="24"/>
          <w:szCs w:val="24"/>
        </w:rPr>
        <w:t xml:space="preserve"> s</w:t>
      </w:r>
      <w:r w:rsidR="00D4130B">
        <w:rPr>
          <w:rFonts w:ascii="Arial" w:hAnsi="Arial" w:cs="Arial"/>
          <w:sz w:val="24"/>
          <w:szCs w:val="24"/>
        </w:rPr>
        <w:t>ó</w:t>
      </w:r>
      <w:r w:rsidR="00DA27F0">
        <w:rPr>
          <w:rFonts w:ascii="Arial" w:hAnsi="Arial" w:cs="Arial"/>
          <w:sz w:val="24"/>
          <w:szCs w:val="24"/>
        </w:rPr>
        <w:t>lo 12</w:t>
      </w:r>
      <w:r w:rsidR="006B22D5">
        <w:rPr>
          <w:rFonts w:ascii="Arial" w:hAnsi="Arial" w:cs="Arial"/>
          <w:sz w:val="24"/>
          <w:szCs w:val="24"/>
        </w:rPr>
        <w:t xml:space="preserve"> </w:t>
      </w:r>
      <w:r w:rsidR="00DA27F0">
        <w:rPr>
          <w:rFonts w:ascii="Arial" w:hAnsi="Arial" w:cs="Arial"/>
          <w:sz w:val="24"/>
          <w:szCs w:val="24"/>
        </w:rPr>
        <w:t>puntos.</w:t>
      </w:r>
    </w:p>
    <w:p w:rsidR="00E96B26" w:rsidRDefault="00E96B26" w:rsidP="00D2595E">
      <w:pPr>
        <w:jc w:val="both"/>
        <w:rPr>
          <w:rFonts w:ascii="Arial" w:hAnsi="Arial" w:cs="Arial"/>
          <w:sz w:val="24"/>
          <w:szCs w:val="24"/>
        </w:rPr>
      </w:pPr>
    </w:p>
    <w:p w:rsidR="00E96B26" w:rsidRDefault="00E96B26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Tampoco se podría preferir aquella oferta que hubiera obtenido mayor puntaje en el análisis del sobre Nº1, ya que como hemos visto el sistema establecido, no lo permite.</w:t>
      </w:r>
    </w:p>
    <w:p w:rsidR="006006F6" w:rsidRDefault="006006F6" w:rsidP="00D2595E">
      <w:pPr>
        <w:jc w:val="both"/>
        <w:rPr>
          <w:rFonts w:ascii="Arial" w:hAnsi="Arial" w:cs="Arial"/>
          <w:sz w:val="24"/>
          <w:szCs w:val="24"/>
        </w:rPr>
      </w:pPr>
    </w:p>
    <w:p w:rsidR="00130609" w:rsidRDefault="005A3459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 ello</w:t>
      </w:r>
      <w:r w:rsidR="00D413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B22D5">
        <w:rPr>
          <w:rFonts w:ascii="Arial" w:hAnsi="Arial" w:cs="Arial"/>
          <w:sz w:val="24"/>
          <w:szCs w:val="24"/>
        </w:rPr>
        <w:t xml:space="preserve">esta </w:t>
      </w:r>
      <w:r w:rsidR="00E96B26">
        <w:rPr>
          <w:rFonts w:ascii="Arial" w:hAnsi="Arial" w:cs="Arial"/>
          <w:sz w:val="24"/>
          <w:szCs w:val="24"/>
        </w:rPr>
        <w:t>Comisión</w:t>
      </w:r>
      <w:r w:rsidR="006B22D5">
        <w:rPr>
          <w:rFonts w:ascii="Arial" w:hAnsi="Arial" w:cs="Arial"/>
          <w:sz w:val="24"/>
          <w:szCs w:val="24"/>
        </w:rPr>
        <w:t xml:space="preserve"> entiende </w:t>
      </w:r>
      <w:r w:rsidR="00130609">
        <w:rPr>
          <w:rFonts w:ascii="Arial" w:hAnsi="Arial" w:cs="Arial"/>
          <w:sz w:val="24"/>
          <w:szCs w:val="24"/>
        </w:rPr>
        <w:t xml:space="preserve">razonable </w:t>
      </w:r>
      <w:r w:rsidR="006B22D5">
        <w:rPr>
          <w:rFonts w:ascii="Arial" w:hAnsi="Arial" w:cs="Arial"/>
          <w:sz w:val="24"/>
          <w:szCs w:val="24"/>
        </w:rPr>
        <w:t xml:space="preserve">seleccionar </w:t>
      </w:r>
      <w:r w:rsidR="00130609">
        <w:rPr>
          <w:rFonts w:ascii="Arial" w:hAnsi="Arial" w:cs="Arial"/>
          <w:sz w:val="24"/>
          <w:szCs w:val="24"/>
        </w:rPr>
        <w:t xml:space="preserve">como oferta </w:t>
      </w:r>
      <w:r w:rsidR="00E96B26">
        <w:rPr>
          <w:rFonts w:ascii="Arial" w:hAnsi="Arial" w:cs="Arial"/>
          <w:sz w:val="24"/>
          <w:szCs w:val="24"/>
        </w:rPr>
        <w:t>más</w:t>
      </w:r>
      <w:r w:rsidR="00130609">
        <w:rPr>
          <w:rFonts w:ascii="Arial" w:hAnsi="Arial" w:cs="Arial"/>
          <w:sz w:val="24"/>
          <w:szCs w:val="24"/>
        </w:rPr>
        <w:t xml:space="preserve"> conveniente aquella </w:t>
      </w:r>
      <w:r w:rsidR="006B22D5">
        <w:rPr>
          <w:rFonts w:ascii="Arial" w:hAnsi="Arial" w:cs="Arial"/>
          <w:sz w:val="24"/>
          <w:szCs w:val="24"/>
        </w:rPr>
        <w:t>combinación de renglones que resulte más económica para este organismo</w:t>
      </w:r>
      <w:r w:rsidR="00FA5439">
        <w:rPr>
          <w:rFonts w:ascii="Arial" w:hAnsi="Arial" w:cs="Arial"/>
          <w:sz w:val="24"/>
          <w:szCs w:val="24"/>
        </w:rPr>
        <w:t xml:space="preserve">, interpretación </w:t>
      </w:r>
      <w:r w:rsidR="00170E10">
        <w:rPr>
          <w:rFonts w:ascii="Arial" w:hAnsi="Arial" w:cs="Arial"/>
          <w:sz w:val="24"/>
          <w:szCs w:val="24"/>
        </w:rPr>
        <w:t>é</w:t>
      </w:r>
      <w:r w:rsidR="00FA5439">
        <w:rPr>
          <w:rFonts w:ascii="Arial" w:hAnsi="Arial" w:cs="Arial"/>
          <w:sz w:val="24"/>
          <w:szCs w:val="24"/>
        </w:rPr>
        <w:t>sta que ha sido oportunamente tenida en cuenta al momento de resolv</w:t>
      </w:r>
      <w:r w:rsidR="00027C6A">
        <w:rPr>
          <w:rFonts w:ascii="Arial" w:hAnsi="Arial" w:cs="Arial"/>
          <w:sz w:val="24"/>
          <w:szCs w:val="24"/>
        </w:rPr>
        <w:t>er el expediente CM Nº</w:t>
      </w:r>
      <w:r w:rsidR="00170E10">
        <w:rPr>
          <w:rFonts w:ascii="Arial" w:hAnsi="Arial" w:cs="Arial"/>
          <w:sz w:val="24"/>
          <w:szCs w:val="24"/>
        </w:rPr>
        <w:t>-</w:t>
      </w:r>
      <w:r w:rsidR="00027C6A">
        <w:rPr>
          <w:rFonts w:ascii="Arial" w:hAnsi="Arial" w:cs="Arial"/>
          <w:sz w:val="24"/>
          <w:szCs w:val="24"/>
        </w:rPr>
        <w:t>DCC</w:t>
      </w:r>
      <w:r w:rsidR="00170E10">
        <w:rPr>
          <w:rFonts w:ascii="Arial" w:hAnsi="Arial" w:cs="Arial"/>
          <w:sz w:val="24"/>
          <w:szCs w:val="24"/>
        </w:rPr>
        <w:t>-</w:t>
      </w:r>
      <w:r w:rsidR="00027C6A">
        <w:rPr>
          <w:rFonts w:ascii="Arial" w:hAnsi="Arial" w:cs="Arial"/>
          <w:sz w:val="24"/>
          <w:szCs w:val="24"/>
        </w:rPr>
        <w:t xml:space="preserve">141/11, en </w:t>
      </w:r>
      <w:r w:rsidR="00FA5439">
        <w:rPr>
          <w:rFonts w:ascii="Arial" w:hAnsi="Arial" w:cs="Arial"/>
          <w:sz w:val="24"/>
          <w:szCs w:val="24"/>
        </w:rPr>
        <w:t xml:space="preserve">el que se </w:t>
      </w:r>
      <w:r w:rsidR="00170E10">
        <w:rPr>
          <w:rFonts w:ascii="Arial" w:hAnsi="Arial" w:cs="Arial"/>
          <w:sz w:val="24"/>
          <w:szCs w:val="24"/>
        </w:rPr>
        <w:t>perseguía</w:t>
      </w:r>
      <w:r w:rsidR="00FA5439">
        <w:rPr>
          <w:rFonts w:ascii="Arial" w:hAnsi="Arial" w:cs="Arial"/>
          <w:sz w:val="24"/>
          <w:szCs w:val="24"/>
        </w:rPr>
        <w:t xml:space="preserve"> la contratación de enlaces principales y secundarios, en don</w:t>
      </w:r>
      <w:r w:rsidR="00170E10">
        <w:rPr>
          <w:rFonts w:ascii="Arial" w:hAnsi="Arial" w:cs="Arial"/>
          <w:sz w:val="24"/>
          <w:szCs w:val="24"/>
        </w:rPr>
        <w:t>d</w:t>
      </w:r>
      <w:r w:rsidR="00FA5439">
        <w:rPr>
          <w:rFonts w:ascii="Arial" w:hAnsi="Arial" w:cs="Arial"/>
          <w:sz w:val="24"/>
          <w:szCs w:val="24"/>
        </w:rPr>
        <w:t>e al no poderse adjudicar los dos renglones que se licitaban a la misma empresa</w:t>
      </w:r>
      <w:r w:rsidR="00027C6A">
        <w:rPr>
          <w:rFonts w:ascii="Arial" w:hAnsi="Arial" w:cs="Arial"/>
          <w:sz w:val="24"/>
          <w:szCs w:val="24"/>
        </w:rPr>
        <w:t>,</w:t>
      </w:r>
      <w:r w:rsidR="00FA5439">
        <w:rPr>
          <w:rFonts w:ascii="Arial" w:hAnsi="Arial" w:cs="Arial"/>
          <w:sz w:val="24"/>
          <w:szCs w:val="24"/>
        </w:rPr>
        <w:t xml:space="preserve"> </w:t>
      </w:r>
      <w:r w:rsidR="00F6589D">
        <w:rPr>
          <w:rFonts w:ascii="Arial" w:hAnsi="Arial" w:cs="Arial"/>
          <w:sz w:val="24"/>
          <w:szCs w:val="24"/>
        </w:rPr>
        <w:t>se</w:t>
      </w:r>
      <w:r w:rsidR="00027C6A">
        <w:rPr>
          <w:rFonts w:ascii="Arial" w:hAnsi="Arial" w:cs="Arial"/>
          <w:sz w:val="24"/>
          <w:szCs w:val="24"/>
        </w:rPr>
        <w:t xml:space="preserve"> optó</w:t>
      </w:r>
      <w:r w:rsidR="00FA5439">
        <w:rPr>
          <w:rFonts w:ascii="Arial" w:hAnsi="Arial" w:cs="Arial"/>
          <w:sz w:val="24"/>
          <w:szCs w:val="24"/>
        </w:rPr>
        <w:t xml:space="preserve"> por la combinación de ofertas que resultaba m</w:t>
      </w:r>
      <w:r w:rsidR="00D4130B">
        <w:rPr>
          <w:rFonts w:ascii="Arial" w:hAnsi="Arial" w:cs="Arial"/>
          <w:sz w:val="24"/>
          <w:szCs w:val="24"/>
        </w:rPr>
        <w:t>á</w:t>
      </w:r>
      <w:r w:rsidR="00FA5439">
        <w:rPr>
          <w:rFonts w:ascii="Arial" w:hAnsi="Arial" w:cs="Arial"/>
          <w:sz w:val="24"/>
          <w:szCs w:val="24"/>
        </w:rPr>
        <w:t>s económica a este organismo.</w:t>
      </w:r>
    </w:p>
    <w:p w:rsidR="00E96B26" w:rsidRDefault="00E96B26" w:rsidP="00D2595E">
      <w:pPr>
        <w:jc w:val="both"/>
        <w:rPr>
          <w:rFonts w:ascii="Arial" w:hAnsi="Arial" w:cs="Arial"/>
          <w:sz w:val="24"/>
          <w:szCs w:val="24"/>
        </w:rPr>
      </w:pPr>
    </w:p>
    <w:p w:rsidR="00E96B26" w:rsidRDefault="00E96B26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</w:t>
      </w:r>
      <w:r w:rsidR="005A3459">
        <w:rPr>
          <w:rFonts w:ascii="Arial" w:hAnsi="Arial" w:cs="Arial"/>
          <w:sz w:val="24"/>
          <w:szCs w:val="24"/>
        </w:rPr>
        <w:t>te sentido, combinando las ofertas económicas de los renglones 2 y 3 de las empresas que han empatado resulta</w:t>
      </w:r>
      <w:r w:rsidR="00027C6A">
        <w:rPr>
          <w:rFonts w:ascii="Arial" w:hAnsi="Arial" w:cs="Arial"/>
          <w:sz w:val="24"/>
          <w:szCs w:val="24"/>
        </w:rPr>
        <w:t>,</w:t>
      </w:r>
      <w:r w:rsidR="005A3459">
        <w:rPr>
          <w:rFonts w:ascii="Arial" w:hAnsi="Arial" w:cs="Arial"/>
          <w:sz w:val="24"/>
          <w:szCs w:val="24"/>
        </w:rPr>
        <w:t xml:space="preserve"> que la combinación m</w:t>
      </w:r>
      <w:r w:rsidR="00F6589D">
        <w:rPr>
          <w:rFonts w:ascii="Arial" w:hAnsi="Arial" w:cs="Arial"/>
          <w:sz w:val="24"/>
          <w:szCs w:val="24"/>
        </w:rPr>
        <w:t>á</w:t>
      </w:r>
      <w:r w:rsidR="005A3459">
        <w:rPr>
          <w:rFonts w:ascii="Arial" w:hAnsi="Arial" w:cs="Arial"/>
          <w:sz w:val="24"/>
          <w:szCs w:val="24"/>
        </w:rPr>
        <w:t xml:space="preserve">s económica resulta de seleccionar la oferta correspondiente al renglón Nº 2 de La </w:t>
      </w:r>
      <w:proofErr w:type="spellStart"/>
      <w:r w:rsidR="005A3459">
        <w:rPr>
          <w:rFonts w:ascii="Arial" w:hAnsi="Arial" w:cs="Arial"/>
          <w:sz w:val="24"/>
          <w:szCs w:val="24"/>
        </w:rPr>
        <w:t>Mantovana</w:t>
      </w:r>
      <w:proofErr w:type="spellEnd"/>
      <w:r w:rsidR="005A3459">
        <w:rPr>
          <w:rFonts w:ascii="Arial" w:hAnsi="Arial" w:cs="Arial"/>
          <w:sz w:val="24"/>
          <w:szCs w:val="24"/>
        </w:rPr>
        <w:t xml:space="preserve"> de Servicios Generales S.A. y el renglón Nº 3 de </w:t>
      </w:r>
      <w:proofErr w:type="spellStart"/>
      <w:r w:rsidR="005A3459">
        <w:rPr>
          <w:rFonts w:ascii="Arial" w:hAnsi="Arial" w:cs="Arial"/>
          <w:sz w:val="24"/>
          <w:szCs w:val="24"/>
        </w:rPr>
        <w:t>Limpiolux</w:t>
      </w:r>
      <w:proofErr w:type="spellEnd"/>
      <w:r w:rsidR="005A3459">
        <w:rPr>
          <w:rFonts w:ascii="Arial" w:hAnsi="Arial" w:cs="Arial"/>
          <w:sz w:val="24"/>
          <w:szCs w:val="24"/>
        </w:rPr>
        <w:t xml:space="preserve"> S.A.</w:t>
      </w:r>
    </w:p>
    <w:p w:rsidR="00130609" w:rsidRDefault="00130609" w:rsidP="00D2595E">
      <w:pPr>
        <w:jc w:val="both"/>
        <w:rPr>
          <w:rFonts w:ascii="Arial" w:hAnsi="Arial" w:cs="Arial"/>
          <w:sz w:val="24"/>
          <w:szCs w:val="24"/>
        </w:rPr>
      </w:pPr>
    </w:p>
    <w:p w:rsidR="006006F6" w:rsidRDefault="00FA5439" w:rsidP="00D2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 lo dicho</w:t>
      </w:r>
      <w:r w:rsidR="00027C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 </w:t>
      </w:r>
      <w:r w:rsidR="00170E10">
        <w:rPr>
          <w:rFonts w:ascii="Arial" w:hAnsi="Arial" w:cs="Arial"/>
          <w:sz w:val="24"/>
          <w:szCs w:val="24"/>
        </w:rPr>
        <w:t>Comisión</w:t>
      </w:r>
      <w:r w:rsidR="00027C6A">
        <w:rPr>
          <w:rFonts w:ascii="Arial" w:hAnsi="Arial" w:cs="Arial"/>
          <w:sz w:val="24"/>
          <w:szCs w:val="24"/>
        </w:rPr>
        <w:t xml:space="preserve"> entiende que corresponde </w:t>
      </w:r>
      <w:proofErr w:type="spellStart"/>
      <w:r w:rsidR="00027C6A">
        <w:rPr>
          <w:rFonts w:ascii="Arial" w:hAnsi="Arial" w:cs="Arial"/>
          <w:sz w:val="24"/>
          <w:szCs w:val="24"/>
        </w:rPr>
        <w:t>preadjudicar</w:t>
      </w:r>
      <w:proofErr w:type="spellEnd"/>
      <w:r w:rsidR="002E5050">
        <w:rPr>
          <w:rFonts w:ascii="Arial" w:hAnsi="Arial" w:cs="Arial"/>
          <w:sz w:val="24"/>
          <w:szCs w:val="24"/>
        </w:rPr>
        <w:t xml:space="preserve"> la presente contratación por un monto total de pesos veintidós millones seiscientos ochenta y tres trescientos sesenta ($22.683.360.-), correspondiendo</w:t>
      </w:r>
      <w:r w:rsidR="00027C6A">
        <w:rPr>
          <w:rFonts w:ascii="Arial" w:hAnsi="Arial" w:cs="Arial"/>
          <w:sz w:val="24"/>
          <w:szCs w:val="24"/>
        </w:rPr>
        <w:t xml:space="preserve"> el renglón Nº1 a la empresa Servicios de Limpieza y Mantenimiento S.A. por la suma de pesos nueve millones setecientos doce mil ochocientos ($9.712.800.-), el renglón Nº2 a la empresa La </w:t>
      </w:r>
      <w:proofErr w:type="spellStart"/>
      <w:r w:rsidR="00027C6A">
        <w:rPr>
          <w:rFonts w:ascii="Arial" w:hAnsi="Arial" w:cs="Arial"/>
          <w:sz w:val="24"/>
          <w:szCs w:val="24"/>
        </w:rPr>
        <w:t>Mantovana</w:t>
      </w:r>
      <w:proofErr w:type="spellEnd"/>
      <w:r w:rsidR="00027C6A">
        <w:rPr>
          <w:rFonts w:ascii="Arial" w:hAnsi="Arial" w:cs="Arial"/>
          <w:sz w:val="24"/>
          <w:szCs w:val="24"/>
        </w:rPr>
        <w:t xml:space="preserve"> de Servicios Generales S.A., por la suma de pesos seis millones seiscientos ochenta y un mil seiscientos ($6.681.600.-), el renglón Nº3 a la empresa </w:t>
      </w:r>
      <w:proofErr w:type="spellStart"/>
      <w:r w:rsidR="00027C6A">
        <w:rPr>
          <w:rFonts w:ascii="Arial" w:hAnsi="Arial" w:cs="Arial"/>
          <w:sz w:val="24"/>
          <w:szCs w:val="24"/>
        </w:rPr>
        <w:t>Limpiolux</w:t>
      </w:r>
      <w:proofErr w:type="spellEnd"/>
      <w:r w:rsidR="00027C6A">
        <w:rPr>
          <w:rFonts w:ascii="Arial" w:hAnsi="Arial" w:cs="Arial"/>
          <w:sz w:val="24"/>
          <w:szCs w:val="24"/>
        </w:rPr>
        <w:t xml:space="preserve"> S.A. por la suma de pesos seis millones doscientos ochenta y ocho mil novecientos sesenta ($6.288.960.-) </w:t>
      </w: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D2595E" w:rsidRPr="00904BEE" w:rsidRDefault="00D2595E" w:rsidP="00D2595E">
      <w:pPr>
        <w:jc w:val="both"/>
        <w:rPr>
          <w:rFonts w:ascii="Arial" w:hAnsi="Arial" w:cs="Arial"/>
          <w:sz w:val="24"/>
          <w:szCs w:val="24"/>
        </w:rPr>
      </w:pPr>
    </w:p>
    <w:p w:rsidR="00725218" w:rsidRPr="00F6589D" w:rsidRDefault="003461BE" w:rsidP="00F6589D">
      <w:pPr>
        <w:pStyle w:val="Ttulo5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 xml:space="preserve">Gabriel </w:t>
      </w:r>
      <w:proofErr w:type="spellStart"/>
      <w:r>
        <w:rPr>
          <w:rFonts w:ascii="Arial" w:hAnsi="Arial" w:cs="Arial"/>
          <w:bCs w:val="0"/>
          <w:szCs w:val="24"/>
        </w:rPr>
        <w:t>Robirosa</w:t>
      </w:r>
      <w:proofErr w:type="spellEnd"/>
      <w:r w:rsidR="00170E10">
        <w:rPr>
          <w:rFonts w:ascii="Arial" w:hAnsi="Arial" w:cs="Arial"/>
          <w:bCs w:val="0"/>
          <w:szCs w:val="24"/>
        </w:rPr>
        <w:tab/>
      </w:r>
      <w:r w:rsidR="00170E10">
        <w:rPr>
          <w:rFonts w:ascii="Arial" w:hAnsi="Arial" w:cs="Arial"/>
          <w:bCs w:val="0"/>
          <w:szCs w:val="24"/>
        </w:rPr>
        <w:tab/>
      </w:r>
      <w:r w:rsidR="002E5050">
        <w:rPr>
          <w:rFonts w:ascii="Arial" w:hAnsi="Arial" w:cs="Arial"/>
          <w:bCs w:val="0"/>
          <w:szCs w:val="24"/>
        </w:rPr>
        <w:t>Adrián</w:t>
      </w:r>
      <w:r w:rsidR="00170E10">
        <w:rPr>
          <w:rFonts w:ascii="Arial" w:hAnsi="Arial" w:cs="Arial"/>
          <w:bCs w:val="0"/>
          <w:szCs w:val="24"/>
        </w:rPr>
        <w:t xml:space="preserve"> </w:t>
      </w:r>
      <w:proofErr w:type="spellStart"/>
      <w:r w:rsidR="00170E10">
        <w:rPr>
          <w:rFonts w:ascii="Arial" w:hAnsi="Arial" w:cs="Arial"/>
          <w:bCs w:val="0"/>
          <w:szCs w:val="24"/>
        </w:rPr>
        <w:t>Costantino</w:t>
      </w:r>
      <w:proofErr w:type="spellEnd"/>
      <w:r w:rsidR="00170E10">
        <w:rPr>
          <w:rFonts w:ascii="Arial" w:hAnsi="Arial" w:cs="Arial"/>
          <w:bCs w:val="0"/>
          <w:szCs w:val="24"/>
        </w:rPr>
        <w:tab/>
        <w:t xml:space="preserve">       </w:t>
      </w:r>
      <w:r w:rsidR="00D2595E" w:rsidRPr="00904BEE">
        <w:rPr>
          <w:rFonts w:ascii="Arial" w:hAnsi="Arial" w:cs="Arial"/>
          <w:bCs w:val="0"/>
          <w:szCs w:val="24"/>
        </w:rPr>
        <w:t>Federico Carballo</w:t>
      </w:r>
    </w:p>
    <w:sectPr w:rsidR="00725218" w:rsidRPr="00F6589D" w:rsidSect="00086B84">
      <w:headerReference w:type="default" r:id="rId11"/>
      <w:footerReference w:type="even" r:id="rId12"/>
      <w:footerReference w:type="default" r:id="rId13"/>
      <w:pgSz w:w="11907" w:h="16839" w:code="9"/>
      <w:pgMar w:top="1418" w:right="1701" w:bottom="1418" w:left="2835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30B" w:rsidRDefault="00D4130B">
      <w:r>
        <w:separator/>
      </w:r>
    </w:p>
  </w:endnote>
  <w:endnote w:type="continuationSeparator" w:id="0">
    <w:p w:rsidR="00D4130B" w:rsidRDefault="00D4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sto M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0B" w:rsidRDefault="00D413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130B" w:rsidRDefault="00D413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0B" w:rsidRDefault="00D413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12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130B" w:rsidRDefault="00D413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30B" w:rsidRDefault="00D4130B">
      <w:r>
        <w:separator/>
      </w:r>
    </w:p>
  </w:footnote>
  <w:footnote w:type="continuationSeparator" w:id="0">
    <w:p w:rsidR="00D4130B" w:rsidRDefault="00D41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0B" w:rsidRDefault="00D4130B">
    <w:pPr>
      <w:pStyle w:val="Encabezado"/>
      <w:rPr>
        <w:color w:val="FFFFFF"/>
      </w:rPr>
    </w:pPr>
    <w:r>
      <w:rPr>
        <w:color w:val="FFFFFF"/>
      </w:rPr>
      <w:t xml:space="preserve">                                                              </w:t>
    </w:r>
    <w:r>
      <w:rPr>
        <w:color w:val="FFFFFF"/>
        <w:highlight w:val="blue"/>
      </w:rPr>
      <w:object w:dxaOrig="5168" w:dyaOrig="5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5pt;height:56.95pt" o:ole="" fillcolor="window">
          <v:imagedata r:id="rId1" o:title=""/>
        </v:shape>
        <o:OLEObject Type="Embed" ProgID="Word.Picture.8" ShapeID="_x0000_i1025" DrawAspect="Content" ObjectID="_1439646467" r:id="rId2"/>
      </w:object>
    </w:r>
  </w:p>
  <w:p w:rsidR="00D4130B" w:rsidRDefault="00D4130B">
    <w:pPr>
      <w:pStyle w:val="Encabezado"/>
      <w:rPr>
        <w:color w:val="FFFFFF"/>
      </w:rPr>
    </w:pPr>
  </w:p>
  <w:p w:rsidR="00D4130B" w:rsidRDefault="00D4130B">
    <w:pPr>
      <w:pStyle w:val="Encabezado"/>
      <w:rPr>
        <w:color w:val="FFFFFF"/>
      </w:rPr>
    </w:pPr>
  </w:p>
  <w:p w:rsidR="00D4130B" w:rsidRDefault="00D4130B">
    <w:pPr>
      <w:pStyle w:val="Encabezado"/>
      <w:tabs>
        <w:tab w:val="left" w:pos="-567"/>
      </w:tabs>
      <w:ind w:left="-567"/>
      <w:jc w:val="center"/>
      <w:rPr>
        <w:rFonts w:ascii="Calisto MT" w:hAnsi="Calisto MT"/>
        <w:b/>
        <w:i/>
        <w:sz w:val="24"/>
      </w:rPr>
    </w:pPr>
    <w:r>
      <w:rPr>
        <w:rFonts w:ascii="Calisto MT" w:hAnsi="Calisto MT"/>
        <w:b/>
        <w:i/>
        <w:sz w:val="24"/>
      </w:rPr>
      <w:t xml:space="preserve">         Consejo de la Magistratura de la Ciudad Autónoma de Buenos  Aires</w:t>
    </w:r>
  </w:p>
  <w:p w:rsidR="00D4130B" w:rsidRDefault="00D4130B">
    <w:pPr>
      <w:pStyle w:val="Encabezado"/>
      <w:tabs>
        <w:tab w:val="left" w:pos="-567"/>
      </w:tabs>
      <w:ind w:left="-567"/>
      <w:jc w:val="center"/>
      <w:rPr>
        <w:rFonts w:ascii="Calisto MT" w:hAnsi="Calisto MT"/>
        <w:b/>
        <w:i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5E"/>
    <w:rsid w:val="00027C6A"/>
    <w:rsid w:val="000733E3"/>
    <w:rsid w:val="00077953"/>
    <w:rsid w:val="0008073B"/>
    <w:rsid w:val="00086B84"/>
    <w:rsid w:val="000D4613"/>
    <w:rsid w:val="000F35D3"/>
    <w:rsid w:val="00130609"/>
    <w:rsid w:val="00141268"/>
    <w:rsid w:val="00170E10"/>
    <w:rsid w:val="001C56E6"/>
    <w:rsid w:val="002E5050"/>
    <w:rsid w:val="003218C1"/>
    <w:rsid w:val="003461BE"/>
    <w:rsid w:val="004575D2"/>
    <w:rsid w:val="00495992"/>
    <w:rsid w:val="004D0F07"/>
    <w:rsid w:val="004F6B0E"/>
    <w:rsid w:val="005A3459"/>
    <w:rsid w:val="006006F6"/>
    <w:rsid w:val="006B22D5"/>
    <w:rsid w:val="00725218"/>
    <w:rsid w:val="007F5678"/>
    <w:rsid w:val="00843C21"/>
    <w:rsid w:val="008B7702"/>
    <w:rsid w:val="0093282C"/>
    <w:rsid w:val="0098121B"/>
    <w:rsid w:val="009C2984"/>
    <w:rsid w:val="00A671CA"/>
    <w:rsid w:val="00A86174"/>
    <w:rsid w:val="00AE4426"/>
    <w:rsid w:val="00D075D3"/>
    <w:rsid w:val="00D2595E"/>
    <w:rsid w:val="00D4130B"/>
    <w:rsid w:val="00D610E5"/>
    <w:rsid w:val="00DA27F0"/>
    <w:rsid w:val="00DB62A7"/>
    <w:rsid w:val="00E17C23"/>
    <w:rsid w:val="00E96B26"/>
    <w:rsid w:val="00F6589D"/>
    <w:rsid w:val="00FA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D2595E"/>
    <w:pPr>
      <w:keepNext/>
      <w:jc w:val="both"/>
      <w:outlineLvl w:val="4"/>
    </w:pPr>
    <w:rPr>
      <w:bCs/>
      <w:sz w:val="24"/>
    </w:rPr>
  </w:style>
  <w:style w:type="paragraph" w:styleId="Ttulo9">
    <w:name w:val="heading 9"/>
    <w:basedOn w:val="Normal"/>
    <w:next w:val="Normal"/>
    <w:link w:val="Ttulo9Car"/>
    <w:qFormat/>
    <w:rsid w:val="00D2595E"/>
    <w:pPr>
      <w:keepNext/>
      <w:jc w:val="center"/>
      <w:outlineLvl w:val="8"/>
    </w:pPr>
    <w:rPr>
      <w:b/>
      <w:bCs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D2595E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2595E"/>
    <w:rPr>
      <w:rFonts w:ascii="Times New Roman" w:eastAsia="Times New Roman" w:hAnsi="Times New Roman" w:cs="Times New Roman"/>
      <w:b/>
      <w:bCs/>
      <w:sz w:val="24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rsid w:val="00D259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59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D259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59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D2595E"/>
  </w:style>
  <w:style w:type="character" w:styleId="Hipervnculo">
    <w:name w:val="Hyperlink"/>
    <w:basedOn w:val="Fuentedeprrafopredeter"/>
    <w:uiPriority w:val="99"/>
    <w:unhideWhenUsed/>
    <w:rsid w:val="00AE442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61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7C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C6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D2595E"/>
    <w:pPr>
      <w:keepNext/>
      <w:jc w:val="both"/>
      <w:outlineLvl w:val="4"/>
    </w:pPr>
    <w:rPr>
      <w:bCs/>
      <w:sz w:val="24"/>
    </w:rPr>
  </w:style>
  <w:style w:type="paragraph" w:styleId="Ttulo9">
    <w:name w:val="heading 9"/>
    <w:basedOn w:val="Normal"/>
    <w:next w:val="Normal"/>
    <w:link w:val="Ttulo9Car"/>
    <w:qFormat/>
    <w:rsid w:val="00D2595E"/>
    <w:pPr>
      <w:keepNext/>
      <w:jc w:val="center"/>
      <w:outlineLvl w:val="8"/>
    </w:pPr>
    <w:rPr>
      <w:b/>
      <w:bCs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D2595E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2595E"/>
    <w:rPr>
      <w:rFonts w:ascii="Times New Roman" w:eastAsia="Times New Roman" w:hAnsi="Times New Roman" w:cs="Times New Roman"/>
      <w:b/>
      <w:bCs/>
      <w:sz w:val="24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rsid w:val="00D259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59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D259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59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D2595E"/>
  </w:style>
  <w:style w:type="character" w:styleId="Hipervnculo">
    <w:name w:val="Hyperlink"/>
    <w:basedOn w:val="Fuentedeprrafopredeter"/>
    <w:uiPriority w:val="99"/>
    <w:unhideWhenUsed/>
    <w:rsid w:val="00AE442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61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7C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C6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imp@sulimp.com.a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keting@limpiolux.com.ar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mercial@ecolimp-servicios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mantovana@speedy.com.a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7</Pages>
  <Words>1645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CMCABA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fcarballo</dc:creator>
  <cp:keywords/>
  <dc:description/>
  <cp:lastModifiedBy>fcarballo</cp:lastModifiedBy>
  <cp:revision>24</cp:revision>
  <cp:lastPrinted>2013-09-02T18:41:00Z</cp:lastPrinted>
  <dcterms:created xsi:type="dcterms:W3CDTF">2013-08-30T13:16:00Z</dcterms:created>
  <dcterms:modified xsi:type="dcterms:W3CDTF">2013-09-02T20:01:00Z</dcterms:modified>
</cp:coreProperties>
</file>