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40" w:rsidRPr="00DD3637" w:rsidRDefault="009E3E7B" w:rsidP="00AC08D6">
      <w:pPr>
        <w:jc w:val="center"/>
        <w:rPr>
          <w:b/>
          <w:sz w:val="28"/>
          <w:szCs w:val="28"/>
        </w:rPr>
      </w:pPr>
      <w:r w:rsidRPr="00DD3637">
        <w:rPr>
          <w:b/>
          <w:sz w:val="28"/>
          <w:szCs w:val="28"/>
        </w:rPr>
        <w:t>Dictamen de Evaluació</w:t>
      </w:r>
      <w:r w:rsidR="000E2F05" w:rsidRPr="00DD3637">
        <w:rPr>
          <w:b/>
          <w:sz w:val="28"/>
          <w:szCs w:val="28"/>
        </w:rPr>
        <w:t>n de Ofertas</w:t>
      </w:r>
    </w:p>
    <w:p w:rsidR="009E3E7B" w:rsidRDefault="009E3E7B"/>
    <w:p w:rsidR="009E3E7B" w:rsidRDefault="009E3E7B" w:rsidP="000F624A">
      <w:pPr>
        <w:jc w:val="right"/>
      </w:pPr>
      <w:r>
        <w:t>Buenos Aires</w:t>
      </w:r>
      <w:proofErr w:type="gramStart"/>
      <w:r>
        <w:t>,</w:t>
      </w:r>
      <w:r w:rsidR="003B1201">
        <w:t>9</w:t>
      </w:r>
      <w:proofErr w:type="gramEnd"/>
      <w:r w:rsidR="003B1201">
        <w:t xml:space="preserve"> </w:t>
      </w:r>
      <w:r w:rsidR="002779A6">
        <w:t xml:space="preserve"> </w:t>
      </w:r>
      <w:r w:rsidR="00B13E8D">
        <w:t xml:space="preserve">de </w:t>
      </w:r>
      <w:r w:rsidR="00770CE5">
        <w:t>Octubre</w:t>
      </w:r>
      <w:r w:rsidR="00824DA2">
        <w:t xml:space="preserve"> </w:t>
      </w:r>
      <w:r>
        <w:t>de 201</w:t>
      </w:r>
      <w:r w:rsidR="00824DA2">
        <w:t>5</w:t>
      </w:r>
    </w:p>
    <w:p w:rsidR="002054FD" w:rsidRDefault="002054FD">
      <w:pPr>
        <w:rPr>
          <w:b/>
        </w:rPr>
      </w:pPr>
    </w:p>
    <w:p w:rsidR="00912EAE" w:rsidRDefault="00912EAE" w:rsidP="00770CE5">
      <w:pPr>
        <w:jc w:val="both"/>
      </w:pPr>
      <w:r w:rsidRPr="00B13E8D">
        <w:rPr>
          <w:b/>
        </w:rPr>
        <w:t xml:space="preserve">Referencia: Expediente </w:t>
      </w:r>
      <w:proofErr w:type="spellStart"/>
      <w:r w:rsidR="00770CE5">
        <w:rPr>
          <w:b/>
        </w:rPr>
        <w:t>OAyF</w:t>
      </w:r>
      <w:proofErr w:type="spellEnd"/>
      <w:r w:rsidRPr="00B13E8D">
        <w:rPr>
          <w:b/>
        </w:rPr>
        <w:t xml:space="preserve"> N° </w:t>
      </w:r>
      <w:r w:rsidR="00770CE5">
        <w:rPr>
          <w:b/>
        </w:rPr>
        <w:t>15</w:t>
      </w:r>
      <w:r w:rsidR="00B761C9">
        <w:rPr>
          <w:b/>
        </w:rPr>
        <w:t>8</w:t>
      </w:r>
      <w:bookmarkStart w:id="0" w:name="_GoBack"/>
      <w:bookmarkEnd w:id="0"/>
      <w:r w:rsidRPr="00B13E8D">
        <w:rPr>
          <w:b/>
        </w:rPr>
        <w:t>/1</w:t>
      </w:r>
      <w:r w:rsidR="00824DA2">
        <w:rPr>
          <w:b/>
        </w:rPr>
        <w:t>5</w:t>
      </w:r>
      <w:r w:rsidRPr="00B13E8D">
        <w:rPr>
          <w:b/>
        </w:rPr>
        <w:t>-0</w:t>
      </w:r>
      <w:r w:rsidR="00034616" w:rsidRPr="00B13E8D">
        <w:rPr>
          <w:b/>
        </w:rPr>
        <w:t xml:space="preserve"> s/ </w:t>
      </w:r>
      <w:r w:rsidR="00770CE5">
        <w:rPr>
          <w:b/>
        </w:rPr>
        <w:t>Servicios Informáticos Judiciales (SIJ) – Arquitectura Básica</w:t>
      </w:r>
      <w:r w:rsidR="00824DA2">
        <w:rPr>
          <w:b/>
        </w:rPr>
        <w:t xml:space="preserve"> </w:t>
      </w:r>
    </w:p>
    <w:p w:rsidR="00912EAE" w:rsidRDefault="00912EAE" w:rsidP="007B408E">
      <w:pPr>
        <w:jc w:val="both"/>
      </w:pPr>
      <w:r>
        <w:t xml:space="preserve">Llega este expediente a conocimiento de la Unidad de Evaluación de Ofertas, a fin de dictaminar en la Licitación Pública N° </w:t>
      </w:r>
      <w:r w:rsidR="00770CE5">
        <w:t>19</w:t>
      </w:r>
      <w:r>
        <w:t>/201</w:t>
      </w:r>
      <w:r w:rsidR="00824DA2">
        <w:t>5</w:t>
      </w:r>
      <w:r>
        <w:t xml:space="preserve"> de et</w:t>
      </w:r>
      <w:r w:rsidR="00844F5A">
        <w:t>apa única</w:t>
      </w:r>
      <w:r w:rsidR="00770CE5">
        <w:t xml:space="preserve"> bajo la modalidad de llave en mano</w:t>
      </w:r>
      <w:r w:rsidR="00844F5A">
        <w:t xml:space="preserve">, que tiene por objeto la </w:t>
      </w:r>
      <w:r w:rsidR="00824DA2">
        <w:t>contratación de</w:t>
      </w:r>
      <w:r w:rsidR="00770CE5">
        <w:t xml:space="preserve">l desarrollo del software para la realización del sistema informático llamado Servicios Informáticos Judiciales (SIJ) – Arquitectura Básica, para el </w:t>
      </w:r>
      <w:r w:rsidR="00824DA2">
        <w:t xml:space="preserve">Poder </w:t>
      </w:r>
      <w:r w:rsidR="0017686B">
        <w:t xml:space="preserve">Judicial (áreas administrativa y jurisdiccional) de la C.A.B.A. , en la forma, </w:t>
      </w:r>
      <w:r w:rsidR="00770CE5">
        <w:t xml:space="preserve">cantidades y según las </w:t>
      </w:r>
      <w:r w:rsidR="0017686B">
        <w:t xml:space="preserve">características </w:t>
      </w:r>
      <w:r w:rsidR="00770CE5">
        <w:t xml:space="preserve">especificadas </w:t>
      </w:r>
      <w:r w:rsidR="0017686B">
        <w:t xml:space="preserve">en </w:t>
      </w:r>
      <w:r w:rsidR="00770CE5">
        <w:t>e</w:t>
      </w:r>
      <w:r w:rsidR="0017686B">
        <w:t>l</w:t>
      </w:r>
      <w:r w:rsidR="00770CE5">
        <w:t xml:space="preserve"> Pliego</w:t>
      </w:r>
      <w:r w:rsidR="009654F6">
        <w:t xml:space="preserve"> de Bases y Condiciones Particulares y en el de</w:t>
      </w:r>
      <w:r w:rsidR="0017686B">
        <w:t xml:space="preserve"> Especificaciones Técnicas que como Anexo I y II integran la presente Resolución </w:t>
      </w:r>
      <w:r w:rsidR="009654F6">
        <w:t>con un presupuesto oficial de pesos Dos millo</w:t>
      </w:r>
      <w:r w:rsidR="00844F5A">
        <w:t>n</w:t>
      </w:r>
      <w:r w:rsidR="009654F6">
        <w:t>es Quinientos</w:t>
      </w:r>
      <w:r w:rsidR="00903FBE">
        <w:t xml:space="preserve"> mil pesos ($ </w:t>
      </w:r>
      <w:r w:rsidR="00770CE5">
        <w:t>2</w:t>
      </w:r>
      <w:r w:rsidR="00903FBE">
        <w:t>.</w:t>
      </w:r>
      <w:r w:rsidR="00770CE5">
        <w:t>5</w:t>
      </w:r>
      <w:r w:rsidR="00903FBE">
        <w:t>00.000</w:t>
      </w:r>
      <w:r w:rsidR="0017686B">
        <w:t>,00</w:t>
      </w:r>
      <w:r w:rsidR="00903FBE">
        <w:t>) IVA</w:t>
      </w:r>
      <w:r w:rsidR="00802AA5">
        <w:t xml:space="preserve"> Inclui</w:t>
      </w:r>
      <w:r w:rsidR="00844F5A">
        <w:t>do.</w:t>
      </w:r>
    </w:p>
    <w:p w:rsidR="009654F6" w:rsidRDefault="009654F6" w:rsidP="007B408E">
      <w:pPr>
        <w:jc w:val="both"/>
      </w:pPr>
      <w:r>
        <w:t xml:space="preserve">A fs.1 obra Nota N°271 de la Dirección de Informática y Tecnología donde procede a remitir el Pliego de Especificaciones Técnicas para Servicios Informáticos Judiciales-Arquitectura </w:t>
      </w:r>
      <w:r w:rsidR="005B6DBF">
        <w:t>Básica</w:t>
      </w:r>
      <w:r>
        <w:t>, para la contratación de un sistema de integración de los sistemas existentes incluyendo el desarrollo de Firma Digital</w:t>
      </w:r>
      <w:r w:rsidR="004D0026">
        <w:t xml:space="preserve">, aplicando el paradigma de Arquitectura Orientada a Servicios </w:t>
      </w:r>
      <w:r w:rsidR="005B6DBF">
        <w:t>más</w:t>
      </w:r>
      <w:r w:rsidR="004D0026">
        <w:t xml:space="preserve"> conocido por sus siglas en ingles SOA (</w:t>
      </w:r>
      <w:proofErr w:type="spellStart"/>
      <w:r w:rsidR="004D0026">
        <w:t>Service</w:t>
      </w:r>
      <w:proofErr w:type="spellEnd"/>
      <w:r w:rsidR="004D0026">
        <w:t xml:space="preserve"> </w:t>
      </w:r>
      <w:proofErr w:type="spellStart"/>
      <w:r w:rsidR="004D0026">
        <w:t>Oriented</w:t>
      </w:r>
      <w:proofErr w:type="spellEnd"/>
      <w:r w:rsidR="004D0026">
        <w:t xml:space="preserve"> </w:t>
      </w:r>
      <w:proofErr w:type="spellStart"/>
      <w:r w:rsidR="004D0026">
        <w:t>Architecture</w:t>
      </w:r>
      <w:proofErr w:type="spellEnd"/>
      <w:r w:rsidR="004D0026">
        <w:t>).</w:t>
      </w:r>
      <w:r>
        <w:t xml:space="preserve"> </w:t>
      </w:r>
    </w:p>
    <w:p w:rsidR="00A56C10" w:rsidRDefault="004D0026" w:rsidP="007B408E">
      <w:pPr>
        <w:jc w:val="both"/>
      </w:pPr>
      <w:r>
        <w:t>A fs. 2</w:t>
      </w:r>
      <w:r w:rsidR="00EE176A">
        <w:t>/17</w:t>
      </w:r>
      <w:r w:rsidR="00903FBE">
        <w:t xml:space="preserve"> el Director de </w:t>
      </w:r>
      <w:r w:rsidR="003E5D00">
        <w:t>Informática y Tecnología remite</w:t>
      </w:r>
      <w:r>
        <w:t xml:space="preserve"> el Pliego de</w:t>
      </w:r>
      <w:r w:rsidR="003E5D00">
        <w:t xml:space="preserve"> Especificaciones Técnicas, </w:t>
      </w:r>
      <w:r>
        <w:t>que regirá para la presente licitación.</w:t>
      </w:r>
      <w:r w:rsidR="003E5D00">
        <w:t xml:space="preserve"> </w:t>
      </w:r>
    </w:p>
    <w:p w:rsidR="00903FBE" w:rsidRDefault="0010552F" w:rsidP="007B408E">
      <w:pPr>
        <w:jc w:val="both"/>
      </w:pPr>
      <w:r>
        <w:t xml:space="preserve">A fs. </w:t>
      </w:r>
      <w:r w:rsidR="00585635">
        <w:t>22</w:t>
      </w:r>
      <w:r>
        <w:t xml:space="preserve"> obra </w:t>
      </w:r>
      <w:r w:rsidR="003E5D00">
        <w:t xml:space="preserve"> nota N° </w:t>
      </w:r>
      <w:r w:rsidR="00585635">
        <w:t>284</w:t>
      </w:r>
      <w:r w:rsidR="003E5D00">
        <w:t xml:space="preserve"> de la mencionada Dirección informando el presupuesto estimado</w:t>
      </w:r>
      <w:r w:rsidR="00BB5219">
        <w:t xml:space="preserve"> en Dos millones Quinientos </w:t>
      </w:r>
      <w:r w:rsidR="00A56C10">
        <w:t xml:space="preserve">mil pesos ($ </w:t>
      </w:r>
      <w:r w:rsidR="00585635">
        <w:t>2</w:t>
      </w:r>
      <w:r w:rsidR="00A56C10">
        <w:t>.</w:t>
      </w:r>
      <w:r w:rsidR="00585635">
        <w:t>5</w:t>
      </w:r>
      <w:r w:rsidR="00A56C10">
        <w:t>00.000,00) IVA Incluido.</w:t>
      </w:r>
    </w:p>
    <w:p w:rsidR="0026355F" w:rsidRDefault="00A56C10" w:rsidP="007B408E">
      <w:pPr>
        <w:jc w:val="both"/>
      </w:pPr>
      <w:r>
        <w:t xml:space="preserve">A fs. </w:t>
      </w:r>
      <w:r w:rsidR="00943F6A">
        <w:t>23/38</w:t>
      </w:r>
      <w:r w:rsidR="00A577B0">
        <w:t xml:space="preserve"> lucen</w:t>
      </w:r>
      <w:r w:rsidR="0026355F">
        <w:t xml:space="preserve"> los </w:t>
      </w:r>
      <w:r w:rsidR="00A577B0">
        <w:t>ante</w:t>
      </w:r>
      <w:r w:rsidR="0026355F">
        <w:t>proyectos de</w:t>
      </w:r>
      <w:r w:rsidR="00492873">
        <w:t>l</w:t>
      </w:r>
      <w:r w:rsidR="0026355F">
        <w:t xml:space="preserve"> Plieg</w:t>
      </w:r>
      <w:r w:rsidR="00492873">
        <w:t xml:space="preserve">o de Condiciones Particulares, del </w:t>
      </w:r>
      <w:r w:rsidR="0026355F">
        <w:t>Plieg</w:t>
      </w:r>
      <w:r w:rsidR="00A577B0">
        <w:t>o de Especificaciones Técnicas</w:t>
      </w:r>
      <w:r w:rsidR="00492873">
        <w:t>, en Anexo I los requerimientos funcionales, en Anexo II Arquitectura de Aplicación, en Anexo III Plan de Proyec</w:t>
      </w:r>
      <w:r w:rsidR="00524415">
        <w:t>to y en  Anexo IV Documentación,</w:t>
      </w:r>
      <w:r w:rsidR="00A577B0">
        <w:t xml:space="preserve"> que regirán para la presente licitación.</w:t>
      </w:r>
    </w:p>
    <w:p w:rsidR="00943F6A" w:rsidRDefault="000548E3" w:rsidP="007B408E">
      <w:pPr>
        <w:jc w:val="both"/>
      </w:pPr>
      <w:r>
        <w:t>A fs. 39</w:t>
      </w:r>
      <w:r w:rsidR="0010552F">
        <w:t xml:space="preserve"> obra</w:t>
      </w:r>
      <w:r w:rsidR="0026355F">
        <w:t xml:space="preserve"> nota N° 2</w:t>
      </w:r>
      <w:r w:rsidR="00943F6A">
        <w:t>73</w:t>
      </w:r>
      <w:r w:rsidR="0026355F">
        <w:t xml:space="preserve">/15 de la Dirección de Compras y Contrataciones, solicitando a la Dirección de Informática y Tecnología </w:t>
      </w:r>
      <w:r w:rsidR="00943F6A">
        <w:t>si es preciso incluir o no la cláusula relacionada con los seguros a requerir a la adjudicataria punto 15 del PCPC. A fs. 41 se encuentra la respuesta.</w:t>
      </w:r>
    </w:p>
    <w:p w:rsidR="00784875" w:rsidRDefault="00784875" w:rsidP="007B408E">
      <w:pPr>
        <w:jc w:val="both"/>
      </w:pPr>
      <w:r>
        <w:t>A fs</w:t>
      </w:r>
      <w:r w:rsidR="008B1E63">
        <w:t xml:space="preserve">. </w:t>
      </w:r>
      <w:r w:rsidR="00943F6A">
        <w:t>43</w:t>
      </w:r>
      <w:r>
        <w:t xml:space="preserve"> el Sr. Director de Compras y Contrataciones entiende viable el llamado a Licitación Pública de etapa única,</w:t>
      </w:r>
      <w:r w:rsidR="000548E3">
        <w:t xml:space="preserve"> bajo la modalidad de llave en mano, </w:t>
      </w:r>
      <w:r>
        <w:t xml:space="preserve">conforme lo dispuesto en los </w:t>
      </w:r>
      <w:r>
        <w:lastRenderedPageBreak/>
        <w:t>Artículos 25°, 27°, 31°, 32°</w:t>
      </w:r>
      <w:r w:rsidR="000548E3">
        <w:t>,40°</w:t>
      </w:r>
      <w:r>
        <w:t xml:space="preserve"> y cc de la Ley N°2095, su modificatoria Ley N°4764 y la Resolución CM N°01/2014.</w:t>
      </w:r>
    </w:p>
    <w:p w:rsidR="003B5399" w:rsidRDefault="0067779A" w:rsidP="007B408E">
      <w:pPr>
        <w:jc w:val="both"/>
      </w:pPr>
      <w:r>
        <w:t>A fs.</w:t>
      </w:r>
      <w:r w:rsidR="001A41E3">
        <w:t>44</w:t>
      </w:r>
      <w:r>
        <w:t>/</w:t>
      </w:r>
      <w:r w:rsidR="001A41E3">
        <w:t>51</w:t>
      </w:r>
      <w:r>
        <w:t xml:space="preserve"> luce el Pliego de </w:t>
      </w:r>
      <w:r w:rsidR="00E21E52">
        <w:t>Bases y Condiciones Generales</w:t>
      </w:r>
      <w:r w:rsidR="00563230">
        <w:t>, a</w:t>
      </w:r>
      <w:r w:rsidR="007D442D">
        <w:t xml:space="preserve"> fs</w:t>
      </w:r>
      <w:r w:rsidR="00563230">
        <w:t xml:space="preserve">. </w:t>
      </w:r>
      <w:r w:rsidR="001A41E3">
        <w:t>52</w:t>
      </w:r>
      <w:r w:rsidR="007D442D">
        <w:t>/</w:t>
      </w:r>
      <w:r w:rsidR="001A41E3">
        <w:t>57</w:t>
      </w:r>
      <w:r w:rsidR="007D442D">
        <w:t xml:space="preserve"> el </w:t>
      </w:r>
      <w:r w:rsidR="000876CE">
        <w:t xml:space="preserve">Proyecto del </w:t>
      </w:r>
      <w:r w:rsidR="007D442D">
        <w:t>Pliego de Condiciones Particulares</w:t>
      </w:r>
      <w:r w:rsidR="00563230">
        <w:t>, a</w:t>
      </w:r>
      <w:r w:rsidR="001A41E3">
        <w:t xml:space="preserve"> fs. 58/67 el Proyecto del Pliego de </w:t>
      </w:r>
      <w:r w:rsidR="00766493">
        <w:t>Especificaciones Técnicas con sus anexos.</w:t>
      </w:r>
    </w:p>
    <w:p w:rsidR="00354BA9" w:rsidRDefault="00354BA9" w:rsidP="007B408E">
      <w:pPr>
        <w:jc w:val="both"/>
      </w:pPr>
      <w:r>
        <w:t xml:space="preserve">A fs. </w:t>
      </w:r>
      <w:r w:rsidR="003B5399">
        <w:t>68</w:t>
      </w:r>
      <w:r>
        <w:t xml:space="preserve"> se encuentra el </w:t>
      </w:r>
      <w:r w:rsidR="00A202C4">
        <w:t xml:space="preserve">Proyecto de </w:t>
      </w:r>
      <w:r>
        <w:t>Modelo de Publicación del llamado a la presente licitación Pública N°</w:t>
      </w:r>
      <w:r w:rsidR="003B5399">
        <w:t>19</w:t>
      </w:r>
      <w:r>
        <w:t>/201</w:t>
      </w:r>
      <w:r w:rsidR="00563230">
        <w:t xml:space="preserve">5 </w:t>
      </w:r>
      <w:r>
        <w:t>para su publicación en el</w:t>
      </w:r>
      <w:r w:rsidR="009B558D">
        <w:t xml:space="preserve"> Boletín Oficial de la C.A.B.A.</w:t>
      </w:r>
    </w:p>
    <w:p w:rsidR="008D1DAC" w:rsidRDefault="00563230" w:rsidP="00563230">
      <w:pPr>
        <w:jc w:val="both"/>
      </w:pPr>
      <w:r>
        <w:t xml:space="preserve">A fs. </w:t>
      </w:r>
      <w:r w:rsidR="003B5399">
        <w:t>69</w:t>
      </w:r>
      <w:r>
        <w:t>/</w:t>
      </w:r>
      <w:r w:rsidR="003B5399">
        <w:t>71</w:t>
      </w:r>
      <w:r>
        <w:t xml:space="preserve"> la Dirección de Programación y Adm</w:t>
      </w:r>
      <w:r w:rsidR="0010552F">
        <w:t xml:space="preserve">inistración Contable acompaña </w:t>
      </w:r>
      <w:r>
        <w:t xml:space="preserve"> constancia de Registración Presupuestaria N° </w:t>
      </w:r>
      <w:r w:rsidR="003B5399">
        <w:t xml:space="preserve">1295/06 </w:t>
      </w:r>
      <w:r w:rsidR="008D1DAC">
        <w:t xml:space="preserve"> 2015</w:t>
      </w:r>
      <w:r>
        <w:t xml:space="preserve"> por un monto de pesos </w:t>
      </w:r>
      <w:r w:rsidR="003B5399">
        <w:t>dos millo</w:t>
      </w:r>
      <w:r>
        <w:t>n</w:t>
      </w:r>
      <w:r w:rsidR="003B5399">
        <w:t>es</w:t>
      </w:r>
      <w:r>
        <w:t xml:space="preserve"> </w:t>
      </w:r>
      <w:r w:rsidR="003B5399">
        <w:t xml:space="preserve">quinientos </w:t>
      </w:r>
      <w:r>
        <w:t xml:space="preserve"> mil ($ </w:t>
      </w:r>
      <w:r w:rsidR="003B5399">
        <w:t>2.5</w:t>
      </w:r>
      <w:r>
        <w:t>00.000)</w:t>
      </w:r>
      <w:r w:rsidR="003B5399">
        <w:t>.</w:t>
      </w:r>
      <w:r w:rsidR="008D1DAC">
        <w:t xml:space="preserve"> </w:t>
      </w:r>
    </w:p>
    <w:p w:rsidR="00CB1F58" w:rsidRDefault="00DC616A" w:rsidP="00DC616A">
      <w:pPr>
        <w:jc w:val="both"/>
      </w:pPr>
      <w:r>
        <w:t xml:space="preserve">A fs. </w:t>
      </w:r>
      <w:r w:rsidR="003B5399">
        <w:t>72</w:t>
      </w:r>
      <w:r>
        <w:t>/</w:t>
      </w:r>
      <w:r w:rsidR="003B5399">
        <w:t>73</w:t>
      </w:r>
      <w:r>
        <w:t xml:space="preserve"> el Director de Compras y Contrataciones mediante Nota N° 305-DCC-15 hace una reseña pormenorizada </w:t>
      </w:r>
      <w:r w:rsidR="00CB1F58">
        <w:t xml:space="preserve">de los presentes actuados. </w:t>
      </w:r>
    </w:p>
    <w:p w:rsidR="00DC616A" w:rsidRDefault="00A30D3B" w:rsidP="00DC616A">
      <w:pPr>
        <w:jc w:val="both"/>
      </w:pPr>
      <w:r>
        <w:t xml:space="preserve">A fs. </w:t>
      </w:r>
      <w:r w:rsidR="00855AFC">
        <w:t>75</w:t>
      </w:r>
      <w:r w:rsidR="00885A8E">
        <w:t xml:space="preserve"> consta el pase a la Secretaria Legal y Técnica para que por su intermedio </w:t>
      </w:r>
      <w:r w:rsidR="00DC616A">
        <w:t xml:space="preserve">la Dirección General de Asuntos Jurídicos </w:t>
      </w:r>
      <w:r w:rsidR="00885A8E">
        <w:t xml:space="preserve">emita dictamen jurídico al respecto. </w:t>
      </w:r>
    </w:p>
    <w:p w:rsidR="001E06FE" w:rsidRDefault="001E06FE" w:rsidP="001E06FE">
      <w:pPr>
        <w:jc w:val="both"/>
      </w:pPr>
      <w:r>
        <w:t>A fs. 7</w:t>
      </w:r>
      <w:r w:rsidR="00855AFC">
        <w:t>9</w:t>
      </w:r>
      <w:r>
        <w:t>/</w:t>
      </w:r>
      <w:r w:rsidR="00855AFC">
        <w:t>80</w:t>
      </w:r>
      <w:r>
        <w:t xml:space="preserve"> mediante Dictamen N° 6</w:t>
      </w:r>
      <w:r w:rsidR="00855AFC">
        <w:t>418</w:t>
      </w:r>
      <w:r>
        <w:t>/2015 la Dirección General de Asuntos Jurídicos aconseja la prosecución del presente expediente.</w:t>
      </w:r>
    </w:p>
    <w:p w:rsidR="00597712" w:rsidRDefault="003021E2" w:rsidP="00B674BF">
      <w:pPr>
        <w:jc w:val="both"/>
      </w:pPr>
      <w:r>
        <w:t xml:space="preserve">A fs. </w:t>
      </w:r>
      <w:r w:rsidR="003F7729">
        <w:t>84</w:t>
      </w:r>
      <w:r>
        <w:t>/</w:t>
      </w:r>
      <w:r w:rsidR="003F7729">
        <w:t>85</w:t>
      </w:r>
      <w:r>
        <w:t xml:space="preserve"> el Administrador General del Poder Judicial de C.A.B.A., mediante Res. </w:t>
      </w:r>
      <w:proofErr w:type="spellStart"/>
      <w:r>
        <w:t>OAyF</w:t>
      </w:r>
      <w:proofErr w:type="spellEnd"/>
      <w:r>
        <w:t xml:space="preserve"> N° </w:t>
      </w:r>
      <w:r w:rsidR="003F7729">
        <w:t>253</w:t>
      </w:r>
      <w:r>
        <w:t xml:space="preserve">/2015, autoriza el llamado a Licitación Pública N° </w:t>
      </w:r>
      <w:r w:rsidR="003F7729">
        <w:t>19</w:t>
      </w:r>
      <w:r w:rsidR="008D3517">
        <w:t>/2015</w:t>
      </w:r>
      <w:r>
        <w:t xml:space="preserve"> de etapa única. Asimismo procede a la aprobación del Pliego de Condiciones Particulares, el Plieg</w:t>
      </w:r>
      <w:r w:rsidR="00177073">
        <w:t xml:space="preserve">o de Especificaciones Técnicas, sus Anexos </w:t>
      </w:r>
      <w:r>
        <w:t>y el Modelo de Aviso para la publicación del presente llamado en el Boletín Oficial de la C.A.B.A</w:t>
      </w:r>
      <w:r w:rsidR="00177073">
        <w:t>, con un presupuesto estimado en Pesos Dos Millones Quinientos Mil ($ 2.500.000.-)</w:t>
      </w:r>
      <w:r>
        <w:t>.</w:t>
      </w:r>
      <w:r w:rsidR="008D3517">
        <w:t xml:space="preserve"> Asimismo, dicha resolución fija como fecha de apertura el día 1</w:t>
      </w:r>
      <w:r w:rsidR="00A504EC">
        <w:t>4</w:t>
      </w:r>
      <w:r w:rsidR="008D3517">
        <w:t xml:space="preserve"> de </w:t>
      </w:r>
      <w:r w:rsidR="00A504EC">
        <w:t xml:space="preserve">Septiembre </w:t>
      </w:r>
      <w:r w:rsidR="008D3517">
        <w:t>de 2015 a las 12:00Hs.</w:t>
      </w:r>
    </w:p>
    <w:p w:rsidR="00865522" w:rsidRDefault="00865522" w:rsidP="00865522">
      <w:pPr>
        <w:jc w:val="both"/>
      </w:pPr>
      <w:r>
        <w:t xml:space="preserve">A fs. </w:t>
      </w:r>
      <w:r w:rsidR="00597712">
        <w:t>103</w:t>
      </w:r>
      <w:r>
        <w:t xml:space="preserve"> la Dirección de Compras y Contrataciones procede a designar a los funcionarios que participarán en el acto de ap</w:t>
      </w:r>
      <w:r w:rsidR="00B674BF">
        <w:t>ertura y al responsable técnico de la presente licitación.</w:t>
      </w:r>
    </w:p>
    <w:p w:rsidR="00865522" w:rsidRDefault="00865522" w:rsidP="00865522">
      <w:pPr>
        <w:jc w:val="both"/>
      </w:pPr>
      <w:r>
        <w:t xml:space="preserve">A fs. </w:t>
      </w:r>
      <w:r w:rsidR="00BB4919">
        <w:t>110</w:t>
      </w:r>
      <w:r>
        <w:t xml:space="preserve"> luce constancia de publicación en la página de internet del Poder Judicial de la Ciudad</w:t>
      </w:r>
      <w:r w:rsidR="00BB4919">
        <w:t xml:space="preserve"> de la Res. </w:t>
      </w:r>
      <w:proofErr w:type="spellStart"/>
      <w:r w:rsidR="00BB4919">
        <w:t>OAyF</w:t>
      </w:r>
      <w:proofErr w:type="spellEnd"/>
      <w:r w:rsidR="00BB4919">
        <w:t xml:space="preserve"> N° 253/2015</w:t>
      </w:r>
      <w:r>
        <w:t>.</w:t>
      </w:r>
    </w:p>
    <w:p w:rsidR="007241EE" w:rsidRDefault="007241EE" w:rsidP="007241EE">
      <w:pPr>
        <w:jc w:val="both"/>
      </w:pPr>
      <w:r>
        <w:t xml:space="preserve">A fs. </w:t>
      </w:r>
      <w:r w:rsidR="00BB4919">
        <w:t>111</w:t>
      </w:r>
      <w:r w:rsidR="000E219D">
        <w:t xml:space="preserve"> se agrega el mail </w:t>
      </w:r>
      <w:r>
        <w:t>de la publicación de</w:t>
      </w:r>
      <w:r w:rsidR="000E219D">
        <w:t xml:space="preserve"> </w:t>
      </w:r>
      <w:r>
        <w:t>l</w:t>
      </w:r>
      <w:r w:rsidR="000E219D">
        <w:t xml:space="preserve">a Res. </w:t>
      </w:r>
      <w:proofErr w:type="spellStart"/>
      <w:r w:rsidR="000E219D">
        <w:t>OAyF</w:t>
      </w:r>
      <w:proofErr w:type="spellEnd"/>
      <w:r w:rsidR="000E219D">
        <w:t xml:space="preserve"> N° </w:t>
      </w:r>
      <w:r w:rsidR="00BB4919">
        <w:t>253</w:t>
      </w:r>
      <w:r w:rsidR="000E219D">
        <w:t>/2015</w:t>
      </w:r>
      <w:r>
        <w:t xml:space="preserve"> en el Boletín Oficial.</w:t>
      </w:r>
    </w:p>
    <w:p w:rsidR="00715BBF" w:rsidRDefault="00715BBF" w:rsidP="007B408E">
      <w:pPr>
        <w:jc w:val="both"/>
      </w:pPr>
      <w:r>
        <w:t xml:space="preserve">A fs. </w:t>
      </w:r>
      <w:r w:rsidR="00BB4919">
        <w:t>112</w:t>
      </w:r>
      <w:r w:rsidR="000B4552">
        <w:t>/</w:t>
      </w:r>
      <w:r w:rsidR="00F25E15">
        <w:t>1</w:t>
      </w:r>
      <w:r w:rsidR="00BB4919">
        <w:t>27</w:t>
      </w:r>
      <w:r w:rsidR="000B4552">
        <w:t xml:space="preserve"> se agrega copias de los correos electrónicos enviados</w:t>
      </w:r>
      <w:r w:rsidR="007F2350">
        <w:t xml:space="preserve"> a las diferentes empresas</w:t>
      </w:r>
      <w:r w:rsidR="000B4552">
        <w:t xml:space="preserve">, </w:t>
      </w:r>
      <w:r w:rsidR="00524415">
        <w:t>invitándolas</w:t>
      </w:r>
      <w:r w:rsidR="000B4552">
        <w:t xml:space="preserve"> a participar de la presente licitación</w:t>
      </w:r>
      <w:r w:rsidR="003E0172">
        <w:t xml:space="preserve">. Se adjunta la confirmación de </w:t>
      </w:r>
      <w:r w:rsidR="000B4552">
        <w:t xml:space="preserve"> lectura de los mismos.</w:t>
      </w:r>
    </w:p>
    <w:p w:rsidR="00983AB6" w:rsidRDefault="00983AB6" w:rsidP="007B408E">
      <w:pPr>
        <w:jc w:val="both"/>
      </w:pPr>
      <w:r>
        <w:lastRenderedPageBreak/>
        <w:t xml:space="preserve">A fs. </w:t>
      </w:r>
      <w:r w:rsidR="00BB4919">
        <w:t>128</w:t>
      </w:r>
      <w:r>
        <w:t>/</w:t>
      </w:r>
      <w:r w:rsidR="00BB4919">
        <w:t>129</w:t>
      </w:r>
      <w:r>
        <w:t xml:space="preserve"> obra la publicación del presente</w:t>
      </w:r>
      <w:r w:rsidR="009F58A2">
        <w:t xml:space="preserve"> llamado en el Boletí</w:t>
      </w:r>
      <w:r>
        <w:t>n Oficial de C.A.B.A.</w:t>
      </w:r>
    </w:p>
    <w:p w:rsidR="002E2407" w:rsidRDefault="002E2407" w:rsidP="007B408E">
      <w:pPr>
        <w:jc w:val="both"/>
      </w:pPr>
      <w:r>
        <w:t xml:space="preserve">A fs.130 mediante Nota N° 426 el Director General de Informática y Tecnología de este Consejo pone en conocimiento que actualmente en el Fuero </w:t>
      </w:r>
      <w:proofErr w:type="spellStart"/>
      <w:r>
        <w:t>CAyT</w:t>
      </w:r>
      <w:proofErr w:type="spellEnd"/>
      <w:r>
        <w:t xml:space="preserve"> existen dos sistemas de gestión de expedientes judiciales –IURIX (sistema anterior de gestión de expedientes judiciales) y </w:t>
      </w:r>
      <w:proofErr w:type="spellStart"/>
      <w:r>
        <w:t>JusCaba</w:t>
      </w:r>
      <w:proofErr w:type="spellEnd"/>
      <w:r>
        <w:t xml:space="preserve"> </w:t>
      </w:r>
      <w:proofErr w:type="spellStart"/>
      <w:r>
        <w:t>CAyT</w:t>
      </w:r>
      <w:proofErr w:type="spellEnd"/>
      <w:r>
        <w:t xml:space="preserve"> (sistema actual de expedientes judiciales para el fuero </w:t>
      </w:r>
      <w:proofErr w:type="spellStart"/>
      <w:r>
        <w:t>CAyT</w:t>
      </w:r>
      <w:proofErr w:type="spellEnd"/>
      <w:r>
        <w:t>), presenta diferentes propuestas para llevar a cabo.</w:t>
      </w:r>
    </w:p>
    <w:p w:rsidR="008823A6" w:rsidRDefault="008823A6" w:rsidP="008823A6">
      <w:pPr>
        <w:jc w:val="both"/>
      </w:pPr>
      <w:r>
        <w:t>A fs. 131 obra la Circular sin consulta N°1</w:t>
      </w:r>
      <w:r w:rsidR="009B299F">
        <w:t xml:space="preserve"> donde se procede a incorporar el Módulo de Conexión con Sistema IURIX, el que forma parte y complementa el Anexo I (Requerimientos Funcionales) del Pliego de Especificaciones Técnicas.</w:t>
      </w:r>
    </w:p>
    <w:p w:rsidR="006205C3" w:rsidRDefault="006205C3" w:rsidP="007B408E">
      <w:pPr>
        <w:jc w:val="both"/>
      </w:pPr>
      <w:r>
        <w:t xml:space="preserve">A fs. 143 luce la Circular con consulta N°1 </w:t>
      </w:r>
      <w:r w:rsidR="00102D9B">
        <w:t xml:space="preserve"> donde </w:t>
      </w:r>
      <w:r w:rsidR="004A0243">
        <w:t xml:space="preserve">se establece que </w:t>
      </w:r>
      <w:r>
        <w:t>debido a la co</w:t>
      </w:r>
      <w:r w:rsidR="00102D9B">
        <w:t xml:space="preserve">nsulta efectuada por la empresa </w:t>
      </w:r>
      <w:proofErr w:type="spellStart"/>
      <w:r w:rsidR="00102D9B">
        <w:t>Unitech</w:t>
      </w:r>
      <w:proofErr w:type="spellEnd"/>
      <w:r w:rsidR="00102D9B">
        <w:t xml:space="preserve"> S.A  se procede a efectuar una serie de aclaraciones.</w:t>
      </w:r>
    </w:p>
    <w:p w:rsidR="006205C3" w:rsidRDefault="006205C3" w:rsidP="007B408E">
      <w:pPr>
        <w:jc w:val="both"/>
      </w:pPr>
      <w:r>
        <w:t xml:space="preserve">A fs. 145 obra el Dictamen 6498/2015 de la Dirección General de Asuntos Jurídicos </w:t>
      </w:r>
      <w:r w:rsidR="00BB6818">
        <w:t>donde aconseja la prosecución del presente expediente.</w:t>
      </w:r>
    </w:p>
    <w:p w:rsidR="00EC2DFB" w:rsidRDefault="008823A6" w:rsidP="007B408E">
      <w:pPr>
        <w:jc w:val="both"/>
      </w:pPr>
      <w:r>
        <w:t>A fs. 149/15</w:t>
      </w:r>
      <w:r w:rsidR="005E1309">
        <w:t>2</w:t>
      </w:r>
      <w:r>
        <w:t xml:space="preserve"> el Administrador General, mediante Res. </w:t>
      </w:r>
      <w:proofErr w:type="spellStart"/>
      <w:r>
        <w:t>OAyF</w:t>
      </w:r>
      <w:proofErr w:type="spellEnd"/>
      <w:r>
        <w:t xml:space="preserve"> N° 284/2015, aprueba la Circular </w:t>
      </w:r>
      <w:r w:rsidR="005E1309">
        <w:t>sin Consulta N°1 y la Circular con Consulta N°1,</w:t>
      </w:r>
      <w:r w:rsidR="00066AE2">
        <w:t>que</w:t>
      </w:r>
      <w:r w:rsidR="005E1309">
        <w:t xml:space="preserve"> como Anexo I y Anexo II de la </w:t>
      </w:r>
      <w:r>
        <w:t xml:space="preserve"> Licitación </w:t>
      </w:r>
      <w:r w:rsidR="00066AE2">
        <w:t>se adjuntan a la presente Resolución</w:t>
      </w:r>
      <w:r w:rsidR="005E1309">
        <w:t>.</w:t>
      </w:r>
    </w:p>
    <w:p w:rsidR="002D7C7E" w:rsidRDefault="002D7C7E" w:rsidP="007B408E">
      <w:pPr>
        <w:jc w:val="both"/>
      </w:pPr>
      <w:r>
        <w:t xml:space="preserve"> A fs. 154 consta la publicación en l</w:t>
      </w:r>
      <w:r w:rsidR="00CD4FE8">
        <w:t>a</w:t>
      </w:r>
      <w:r>
        <w:t xml:space="preserve"> página web del Poder Judicial de la C.A.B.A. de la Resolución </w:t>
      </w:r>
      <w:proofErr w:type="spellStart"/>
      <w:r>
        <w:t>OAyF</w:t>
      </w:r>
      <w:proofErr w:type="spellEnd"/>
      <w:r>
        <w:t xml:space="preserve"> N°284/2015.</w:t>
      </w:r>
    </w:p>
    <w:p w:rsidR="00CD4FE8" w:rsidRDefault="00CD4FE8" w:rsidP="00CD4FE8">
      <w:pPr>
        <w:jc w:val="both"/>
      </w:pPr>
      <w:r>
        <w:t xml:space="preserve">A fs. 155/160 se agrega copias de los correos electrónicos enviados, comunicando la  Res. </w:t>
      </w:r>
      <w:proofErr w:type="spellStart"/>
      <w:r>
        <w:t>OAyF</w:t>
      </w:r>
      <w:proofErr w:type="spellEnd"/>
      <w:r>
        <w:t xml:space="preserve"> N° 284/2015,</w:t>
      </w:r>
      <w:r w:rsidR="00C76124">
        <w:t xml:space="preserve"> </w:t>
      </w:r>
      <w:r w:rsidR="00010F51">
        <w:t>donde se procede a apro</w:t>
      </w:r>
      <w:r>
        <w:t>ba</w:t>
      </w:r>
      <w:r w:rsidR="00010F51">
        <w:t>r</w:t>
      </w:r>
      <w:r>
        <w:t xml:space="preserve"> la Circular sin Consulta N°1 y la Circular con Consulta N°1.</w:t>
      </w:r>
    </w:p>
    <w:p w:rsidR="0041708D" w:rsidRDefault="00983AB6" w:rsidP="007B408E">
      <w:pPr>
        <w:jc w:val="both"/>
      </w:pPr>
      <w:r>
        <w:t>A fs. 1</w:t>
      </w:r>
      <w:r w:rsidR="00CD4FE8">
        <w:t>6</w:t>
      </w:r>
      <w:r w:rsidR="00C656EF">
        <w:t>1</w:t>
      </w:r>
      <w:r w:rsidR="0010552F">
        <w:t xml:space="preserve"> luce </w:t>
      </w:r>
      <w:r>
        <w:t xml:space="preserve"> Listado de Entrega de</w:t>
      </w:r>
      <w:r w:rsidR="00CD4FE8">
        <w:t xml:space="preserve"> Pliegos de Bases y Condiciones</w:t>
      </w:r>
      <w:r>
        <w:t>.</w:t>
      </w:r>
      <w:r w:rsidR="000C2B75">
        <w:t xml:space="preserve"> </w:t>
      </w:r>
      <w:r>
        <w:t>A fs. 1</w:t>
      </w:r>
      <w:r w:rsidR="00CD4FE8">
        <w:t>6</w:t>
      </w:r>
      <w:r w:rsidR="005F0DAF">
        <w:t>2</w:t>
      </w:r>
      <w:r>
        <w:t xml:space="preserve"> obra Constancia de Retiro de</w:t>
      </w:r>
      <w:r w:rsidR="00CD4FE8">
        <w:t>l</w:t>
      </w:r>
      <w:r>
        <w:t xml:space="preserve"> </w:t>
      </w:r>
      <w:r w:rsidR="00CD4FE8">
        <w:t>Pliego</w:t>
      </w:r>
      <w:r>
        <w:t xml:space="preserve"> de Bases y Condiciones.</w:t>
      </w:r>
    </w:p>
    <w:p w:rsidR="00D36AB3" w:rsidRDefault="00D36AB3" w:rsidP="007B408E">
      <w:pPr>
        <w:jc w:val="both"/>
      </w:pPr>
      <w:r>
        <w:t>A fs. 1</w:t>
      </w:r>
      <w:r w:rsidR="00CD4FE8">
        <w:t>65</w:t>
      </w:r>
      <w:r w:rsidR="00802AA5">
        <w:t>/1</w:t>
      </w:r>
      <w:r w:rsidR="00CD4FE8">
        <w:t>66</w:t>
      </w:r>
      <w:r w:rsidR="00B76B1D">
        <w:t xml:space="preserve"> obra</w:t>
      </w:r>
      <w:r>
        <w:t xml:space="preserve"> </w:t>
      </w:r>
      <w:r w:rsidR="0045796A">
        <w:t xml:space="preserve">el </w:t>
      </w:r>
      <w:r>
        <w:t>Acta</w:t>
      </w:r>
      <w:r w:rsidR="0045796A">
        <w:t xml:space="preserve"> de Apertura de O</w:t>
      </w:r>
      <w:r w:rsidR="0019614B">
        <w:t>fertas</w:t>
      </w:r>
      <w:r>
        <w:t xml:space="preserve">, donde se registra que se ha presentado </w:t>
      </w:r>
      <w:r w:rsidR="00CD4FE8">
        <w:t xml:space="preserve">un </w:t>
      </w:r>
      <w:r>
        <w:t>(</w:t>
      </w:r>
      <w:r w:rsidR="00CD4FE8">
        <w:t>1) sobre</w:t>
      </w:r>
      <w:r>
        <w:t xml:space="preserve"> ante la Mesa de Entradas de este Consejo</w:t>
      </w:r>
      <w:r w:rsidR="00802AA5">
        <w:t>.</w:t>
      </w:r>
    </w:p>
    <w:p w:rsidR="00DC58CD" w:rsidRDefault="00DC58CD" w:rsidP="007B408E">
      <w:pPr>
        <w:jc w:val="both"/>
      </w:pPr>
      <w:r>
        <w:t xml:space="preserve">A fs. </w:t>
      </w:r>
      <w:r w:rsidR="00EA726A">
        <w:t>604</w:t>
      </w:r>
      <w:r w:rsidR="0005128A">
        <w:t xml:space="preserve"> consta</w:t>
      </w:r>
      <w:r>
        <w:t xml:space="preserve"> Memo N° </w:t>
      </w:r>
      <w:r w:rsidR="00EA726A">
        <w:t>22</w:t>
      </w:r>
      <w:r>
        <w:t>/2015</w:t>
      </w:r>
      <w:r w:rsidR="0005128A">
        <w:t xml:space="preserve"> producido por</w:t>
      </w:r>
      <w:r>
        <w:t xml:space="preserve"> esta Unidad para la Dirección de Compras y Contratacione</w:t>
      </w:r>
      <w:r w:rsidR="00EA726A">
        <w:t xml:space="preserve">s remitiendo a sobre cerrado la póliza </w:t>
      </w:r>
      <w:r>
        <w:t>de seguro de caución para su resguardo en la caja fuerte de esa Dirección.</w:t>
      </w:r>
    </w:p>
    <w:p w:rsidR="009F689D" w:rsidRDefault="009F689D" w:rsidP="007B408E">
      <w:pPr>
        <w:jc w:val="both"/>
      </w:pPr>
      <w:r>
        <w:t>A fs.</w:t>
      </w:r>
      <w:r w:rsidR="00EA726A">
        <w:t xml:space="preserve"> 606</w:t>
      </w:r>
      <w:r w:rsidR="007D69C6">
        <w:t>/609</w:t>
      </w:r>
      <w:r>
        <w:t xml:space="preserve"> se acompaña el resultado de la consulta de Estado Registral</w:t>
      </w:r>
      <w:r w:rsidR="007D69C6">
        <w:t xml:space="preserve"> de la empresa </w:t>
      </w:r>
      <w:r w:rsidR="004F6370">
        <w:t>realizada por esta Unidad ante el</w:t>
      </w:r>
      <w:r>
        <w:t xml:space="preserve"> R.I.U.P.P de acuerdo a lo establecido en el artículo 5 del PBCG.</w:t>
      </w:r>
    </w:p>
    <w:p w:rsidR="00AE4C0C" w:rsidRDefault="00AE4C0C" w:rsidP="00D93922">
      <w:pPr>
        <w:jc w:val="both"/>
      </w:pPr>
      <w:r>
        <w:lastRenderedPageBreak/>
        <w:t>A fs. 61</w:t>
      </w:r>
      <w:r w:rsidR="00C10550">
        <w:t>0</w:t>
      </w:r>
      <w:r>
        <w:t>/61</w:t>
      </w:r>
      <w:r w:rsidR="00C10550">
        <w:t>1</w:t>
      </w:r>
      <w:r>
        <w:t xml:space="preserve"> obra Nota de esta Unidad dirigida a la Dirección de Informática y Tecnología para la realiz</w:t>
      </w:r>
      <w:r w:rsidR="00C10550">
        <w:t>ación del informe técnico d</w:t>
      </w:r>
      <w:r w:rsidR="001371B5">
        <w:t>e la propuesta presentada por el</w:t>
      </w:r>
      <w:r w:rsidR="00C10550">
        <w:t xml:space="preserve"> oferente</w:t>
      </w:r>
      <w:r>
        <w:t>.</w:t>
      </w:r>
    </w:p>
    <w:p w:rsidR="00E800A7" w:rsidRDefault="007578EE" w:rsidP="007578EE">
      <w:pPr>
        <w:jc w:val="both"/>
      </w:pPr>
      <w:r>
        <w:t>A fs.61</w:t>
      </w:r>
      <w:r w:rsidR="00E800A7">
        <w:t>2/613</w:t>
      </w:r>
      <w:r>
        <w:t xml:space="preserve"> se incorpora el informe técnico de la Dirección de Informática y Tecnología</w:t>
      </w:r>
      <w:r w:rsidR="00196E15">
        <w:t xml:space="preserve">, donde establece que el equipamiento ofertado por </w:t>
      </w:r>
      <w:proofErr w:type="spellStart"/>
      <w:r w:rsidR="00196E15">
        <w:t>Unitech</w:t>
      </w:r>
      <w:proofErr w:type="spellEnd"/>
      <w:r w:rsidR="00196E15">
        <w:t xml:space="preserve"> S.A cumple con lo especificado en el Pliego.</w:t>
      </w:r>
    </w:p>
    <w:p w:rsidR="00E95BF5" w:rsidRDefault="00E95BF5" w:rsidP="00E95BF5">
      <w:pPr>
        <w:jc w:val="both"/>
      </w:pPr>
      <w:r>
        <w:t xml:space="preserve"> A fs. 616 luce el mail de pedido de documentación a la empresa.</w:t>
      </w:r>
    </w:p>
    <w:p w:rsidR="0037382B" w:rsidRDefault="00802AA5" w:rsidP="007B408E">
      <w:pPr>
        <w:jc w:val="both"/>
      </w:pPr>
      <w:r>
        <w:t xml:space="preserve"> </w:t>
      </w:r>
    </w:p>
    <w:p w:rsidR="00802AA5" w:rsidRDefault="00802AA5" w:rsidP="0037382B">
      <w:pPr>
        <w:jc w:val="center"/>
        <w:rPr>
          <w:b/>
          <w:sz w:val="28"/>
          <w:szCs w:val="28"/>
          <w:u w:val="single"/>
        </w:rPr>
      </w:pPr>
      <w:r w:rsidRPr="00DD3637">
        <w:rPr>
          <w:b/>
          <w:sz w:val="28"/>
          <w:szCs w:val="28"/>
          <w:u w:val="single"/>
        </w:rPr>
        <w:t>OFERTA</w:t>
      </w:r>
    </w:p>
    <w:p w:rsidR="00CB53A7" w:rsidRPr="00DD3637" w:rsidRDefault="00CB53A7" w:rsidP="007B408E">
      <w:pPr>
        <w:jc w:val="both"/>
        <w:rPr>
          <w:b/>
          <w:sz w:val="28"/>
          <w:szCs w:val="28"/>
          <w:u w:val="single"/>
        </w:rPr>
      </w:pPr>
    </w:p>
    <w:p w:rsidR="00802AA5" w:rsidRPr="00B02F9F" w:rsidRDefault="00A52CDD" w:rsidP="00B02F9F">
      <w:pPr>
        <w:pStyle w:val="Prrafodelista"/>
        <w:numPr>
          <w:ilvl w:val="0"/>
          <w:numId w:val="3"/>
        </w:numPr>
        <w:ind w:left="426"/>
        <w:jc w:val="both"/>
        <w:rPr>
          <w:b/>
        </w:rPr>
      </w:pPr>
      <w:r>
        <w:rPr>
          <w:b/>
        </w:rPr>
        <w:t>UNITECH</w:t>
      </w:r>
      <w:r w:rsidR="00573C9D" w:rsidRPr="00B02F9F">
        <w:rPr>
          <w:b/>
        </w:rPr>
        <w:t xml:space="preserve"> S.</w:t>
      </w:r>
      <w:r>
        <w:rPr>
          <w:b/>
        </w:rPr>
        <w:t>A</w:t>
      </w:r>
      <w:r w:rsidR="00573C9D" w:rsidRPr="00B02F9F">
        <w:rPr>
          <w:b/>
        </w:rPr>
        <w:t>.</w:t>
      </w:r>
    </w:p>
    <w:p w:rsidR="00802AA5" w:rsidRDefault="00341D30" w:rsidP="00C377E3">
      <w:pPr>
        <w:jc w:val="both"/>
      </w:pPr>
      <w:r w:rsidRPr="0041009B">
        <w:rPr>
          <w:b/>
          <w:u w:val="single"/>
        </w:rPr>
        <w:t>CUIT:</w:t>
      </w:r>
      <w:r>
        <w:t xml:space="preserve"> </w:t>
      </w:r>
      <w:r w:rsidR="00573C9D">
        <w:t>30-</w:t>
      </w:r>
      <w:r w:rsidR="00A52CDD">
        <w:t>64878971</w:t>
      </w:r>
      <w:r w:rsidR="00573C9D">
        <w:t>-</w:t>
      </w:r>
      <w:r w:rsidR="00A52CDD">
        <w:t>4</w:t>
      </w:r>
    </w:p>
    <w:p w:rsidR="007117AA" w:rsidRDefault="007117AA" w:rsidP="00C377E3">
      <w:pPr>
        <w:jc w:val="both"/>
      </w:pPr>
      <w:r w:rsidRPr="0041009B">
        <w:rPr>
          <w:b/>
          <w:u w:val="single"/>
        </w:rPr>
        <w:t>Domicilio:</w:t>
      </w:r>
      <w:r>
        <w:t xml:space="preserve"> </w:t>
      </w:r>
      <w:r w:rsidR="007962C4">
        <w:t xml:space="preserve">Corrientes 617 </w:t>
      </w:r>
      <w:r>
        <w:t>P</w:t>
      </w:r>
      <w:r w:rsidR="003D76D3">
        <w:t xml:space="preserve">iso </w:t>
      </w:r>
      <w:r w:rsidR="007962C4">
        <w:t xml:space="preserve">11 </w:t>
      </w:r>
      <w:r w:rsidR="00597078">
        <w:t>C.A.B.A.</w:t>
      </w:r>
    </w:p>
    <w:p w:rsidR="007117AA" w:rsidRDefault="008357E7" w:rsidP="00C377E3">
      <w:pPr>
        <w:jc w:val="both"/>
      </w:pPr>
      <w:r>
        <w:t xml:space="preserve"> </w:t>
      </w:r>
      <w:r w:rsidR="003D76D3" w:rsidRPr="0041009B">
        <w:rPr>
          <w:b/>
          <w:u w:val="single"/>
        </w:rPr>
        <w:t>Teléfono</w:t>
      </w:r>
      <w:r w:rsidR="007117AA" w:rsidRPr="0041009B">
        <w:rPr>
          <w:b/>
          <w:u w:val="single"/>
        </w:rPr>
        <w:t>:</w:t>
      </w:r>
      <w:r w:rsidR="007117AA">
        <w:t xml:space="preserve"> </w:t>
      </w:r>
      <w:r w:rsidR="00C5689D">
        <w:t>43</w:t>
      </w:r>
      <w:r w:rsidR="0041009B">
        <w:t>81</w:t>
      </w:r>
      <w:r w:rsidR="00C5689D">
        <w:t>-</w:t>
      </w:r>
      <w:r w:rsidR="0041009B">
        <w:t>0320</w:t>
      </w:r>
      <w:r w:rsidR="00C5689D">
        <w:t xml:space="preserve"> / </w:t>
      </w:r>
      <w:r w:rsidR="0041009B">
        <w:t>0805</w:t>
      </w:r>
    </w:p>
    <w:p w:rsidR="00C5689D" w:rsidRDefault="00976BCD" w:rsidP="00C377E3">
      <w:pPr>
        <w:jc w:val="both"/>
      </w:pPr>
      <w:r w:rsidRPr="0041009B">
        <w:rPr>
          <w:b/>
          <w:u w:val="single"/>
        </w:rPr>
        <w:t>Correo Electrónico</w:t>
      </w:r>
      <w:r w:rsidRPr="00FA5934">
        <w:rPr>
          <w:b/>
        </w:rPr>
        <w:t>:</w:t>
      </w:r>
      <w:r w:rsidR="00FA5934" w:rsidRPr="00FA5934">
        <w:rPr>
          <w:b/>
        </w:rPr>
        <w:t xml:space="preserve"> </w:t>
      </w:r>
      <w:r w:rsidR="00D33692" w:rsidRPr="0041009B">
        <w:rPr>
          <w:b/>
          <w:u w:val="single"/>
        </w:rPr>
        <w:t xml:space="preserve"> </w:t>
      </w:r>
      <w:hyperlink r:id="rId9" w:history="1">
        <w:r w:rsidR="007962C4" w:rsidRPr="000023EC">
          <w:rPr>
            <w:rStyle w:val="Hipervnculo"/>
          </w:rPr>
          <w:t>comercial@unitech.com.ar</w:t>
        </w:r>
      </w:hyperlink>
    </w:p>
    <w:p w:rsidR="00F33836" w:rsidRDefault="00F33836" w:rsidP="00F33836">
      <w:pPr>
        <w:jc w:val="both"/>
      </w:pPr>
      <w:r>
        <w:t xml:space="preserve">A fs. </w:t>
      </w:r>
      <w:r w:rsidR="00E8102F">
        <w:t>596</w:t>
      </w:r>
      <w:r>
        <w:t>/</w:t>
      </w:r>
      <w:r w:rsidR="00E8102F">
        <w:t>599</w:t>
      </w:r>
      <w:r>
        <w:t xml:space="preserve"> presenta la propuesta económica que asciende a la suma de pesos </w:t>
      </w:r>
      <w:r w:rsidR="00E8102F">
        <w:t xml:space="preserve">dos millones </w:t>
      </w:r>
      <w:r>
        <w:t xml:space="preserve">novecientos </w:t>
      </w:r>
      <w:r w:rsidR="00E8102F">
        <w:t xml:space="preserve">noventa y dos </w:t>
      </w:r>
      <w:r>
        <w:t>mil</w:t>
      </w:r>
      <w:r w:rsidR="00E8102F">
        <w:t xml:space="preserve"> quinientos</w:t>
      </w:r>
      <w:r>
        <w:t xml:space="preserve"> ($ </w:t>
      </w:r>
      <w:r w:rsidR="00E8102F">
        <w:t>2.992.500</w:t>
      </w:r>
      <w:r>
        <w:t>,00-) IVA incluido.</w:t>
      </w:r>
      <w:r w:rsidR="00205DEE">
        <w:t xml:space="preserve"> Además el oferente procede al</w:t>
      </w:r>
      <w:r w:rsidR="00CD25FB">
        <w:t xml:space="preserve"> mantenimiento de oferta según</w:t>
      </w:r>
      <w:r w:rsidR="00205DEE">
        <w:t xml:space="preserve"> lo establecido en</w:t>
      </w:r>
      <w:r w:rsidR="00CD25FB">
        <w:t xml:space="preserve"> el punto 11</w:t>
      </w:r>
      <w:r w:rsidR="00205DEE">
        <w:t xml:space="preserve"> del PCP, así también lo referido a</w:t>
      </w:r>
      <w:r w:rsidR="00CD25FB">
        <w:t xml:space="preserve"> la Propiedad Intelectual </w:t>
      </w:r>
      <w:r w:rsidR="00205DEE">
        <w:t>tal como lo establece</w:t>
      </w:r>
      <w:r w:rsidR="00CD25FB">
        <w:t xml:space="preserve"> el punto 9 del PCP.</w:t>
      </w:r>
    </w:p>
    <w:p w:rsidR="008D319A" w:rsidRDefault="008D319A" w:rsidP="00C377E3">
      <w:pPr>
        <w:jc w:val="both"/>
      </w:pPr>
      <w:r>
        <w:t xml:space="preserve">A fs. </w:t>
      </w:r>
      <w:r w:rsidR="00F87672">
        <w:t>170</w:t>
      </w:r>
      <w:r>
        <w:t xml:space="preserve"> obra la Constancia de Retiro de Pliegos de Bases y Condiciones según lo establece el artículo 3 de PBCG.</w:t>
      </w:r>
    </w:p>
    <w:p w:rsidR="00C438AB" w:rsidRDefault="00152AE4" w:rsidP="00C377E3">
      <w:pPr>
        <w:jc w:val="both"/>
      </w:pPr>
      <w:r>
        <w:t>A fs. 206 luce</w:t>
      </w:r>
      <w:r w:rsidR="00C438AB">
        <w:t xml:space="preserve"> la Constitución de Domicilio </w:t>
      </w:r>
      <w:r>
        <w:t xml:space="preserve">de la empresa según lo </w:t>
      </w:r>
      <w:r w:rsidR="00C438AB">
        <w:t>establecido en el artículo 6  del Pliego de Bases y Condiciones Generales.</w:t>
      </w:r>
    </w:p>
    <w:p w:rsidR="00C438AB" w:rsidRDefault="00C438AB" w:rsidP="00C438AB">
      <w:pPr>
        <w:jc w:val="both"/>
      </w:pPr>
      <w:r>
        <w:t>A fs. 207 obra el resultado de la consulta de la Constancia del Registro de Deudores Alimentarios Morosos de</w:t>
      </w:r>
      <w:r w:rsidR="00334A67">
        <w:t>l</w:t>
      </w:r>
      <w:r>
        <w:t xml:space="preserve"> oferente realizada por esta Unidad de acuerdo a lo establecido en el artículo 7 del PBCG.</w:t>
      </w:r>
    </w:p>
    <w:p w:rsidR="008D319A" w:rsidRDefault="008D319A" w:rsidP="00C377E3">
      <w:pPr>
        <w:jc w:val="both"/>
      </w:pPr>
      <w:r>
        <w:t xml:space="preserve">A fs. </w:t>
      </w:r>
      <w:r w:rsidR="00C438AB">
        <w:t>208/209</w:t>
      </w:r>
      <w:r>
        <w:t xml:space="preserve"> acompaña la DDJJ aptitud para contratar prevista en el artículo 10 de</w:t>
      </w:r>
      <w:r w:rsidR="00334A67">
        <w:t>l</w:t>
      </w:r>
      <w:r>
        <w:t xml:space="preserve"> PBCG.</w:t>
      </w:r>
    </w:p>
    <w:p w:rsidR="008D319A" w:rsidRDefault="008D319A" w:rsidP="00C377E3">
      <w:pPr>
        <w:jc w:val="both"/>
      </w:pPr>
      <w:r>
        <w:t xml:space="preserve">A fs. </w:t>
      </w:r>
      <w:r w:rsidR="00EC0B36">
        <w:t>210/244 obra el Estatuto Social de la empresa de donde surge la firma del representante legal según el artículo 11 de</w:t>
      </w:r>
      <w:r w:rsidR="00334A67">
        <w:t>l</w:t>
      </w:r>
      <w:r w:rsidR="00EC0B36">
        <w:t xml:space="preserve"> PBCG.</w:t>
      </w:r>
    </w:p>
    <w:p w:rsidR="008D319A" w:rsidRDefault="008D319A" w:rsidP="00C377E3">
      <w:pPr>
        <w:jc w:val="both"/>
      </w:pPr>
      <w:r>
        <w:lastRenderedPageBreak/>
        <w:t xml:space="preserve">A fs. </w:t>
      </w:r>
      <w:r w:rsidR="00895E6D">
        <w:t>246</w:t>
      </w:r>
      <w:r w:rsidR="009B6162">
        <w:t xml:space="preserve"> luce el Certificado Fiscal para Contratar vigente</w:t>
      </w:r>
      <w:r w:rsidR="00334A67">
        <w:t>,</w:t>
      </w:r>
      <w:r w:rsidR="006848B9">
        <w:t xml:space="preserve"> </w:t>
      </w:r>
      <w:r w:rsidR="00334A67">
        <w:t>de acuerdo a lo establecido en el artículo 29 del PBCG</w:t>
      </w:r>
      <w:r w:rsidR="009B6162">
        <w:t>.</w:t>
      </w:r>
    </w:p>
    <w:p w:rsidR="008D319A" w:rsidRDefault="009B6162" w:rsidP="00C377E3">
      <w:pPr>
        <w:jc w:val="both"/>
      </w:pPr>
      <w:r>
        <w:t>A fs. 172/175 obra la</w:t>
      </w:r>
      <w:r w:rsidR="00C25BCE">
        <w:t xml:space="preserve"> firma d</w:t>
      </w:r>
      <w:r w:rsidR="004909CB">
        <w:t>el representante legal, previsto</w:t>
      </w:r>
      <w:r w:rsidR="00C25BCE">
        <w:t xml:space="preserve"> en el artículo 11 del PBCG.</w:t>
      </w:r>
    </w:p>
    <w:p w:rsidR="009B6162" w:rsidRDefault="009B6162" w:rsidP="00C377E3">
      <w:pPr>
        <w:jc w:val="both"/>
      </w:pPr>
      <w:r>
        <w:t xml:space="preserve">A fs. </w:t>
      </w:r>
      <w:r w:rsidR="00DC5164">
        <w:t>300</w:t>
      </w:r>
      <w:r>
        <w:t>/</w:t>
      </w:r>
      <w:r w:rsidR="00DC5164">
        <w:t>30</w:t>
      </w:r>
      <w:r>
        <w:t xml:space="preserve">3 acompaña Garantía de Oferta de </w:t>
      </w:r>
      <w:r w:rsidR="00DC5164">
        <w:t xml:space="preserve">RSA </w:t>
      </w:r>
      <w:r>
        <w:t>A</w:t>
      </w:r>
      <w:r w:rsidR="00DC5164">
        <w:t xml:space="preserve">seguradora </w:t>
      </w:r>
      <w:r w:rsidR="00342FA1">
        <w:t>de Créditos y Garantías</w:t>
      </w:r>
      <w:r>
        <w:t xml:space="preserve"> S.A bajo el N° </w:t>
      </w:r>
      <w:r w:rsidR="00892818">
        <w:t>1310725</w:t>
      </w:r>
      <w:r>
        <w:t xml:space="preserve"> por la suma de pesos </w:t>
      </w:r>
      <w:r w:rsidR="007F18BB">
        <w:t xml:space="preserve">ciento cincuenta mil </w:t>
      </w:r>
      <w:r>
        <w:t>($1</w:t>
      </w:r>
      <w:r w:rsidR="007F18BB">
        <w:t>50</w:t>
      </w:r>
      <w:r>
        <w:t>.</w:t>
      </w:r>
      <w:r w:rsidR="007F18BB">
        <w:t>000</w:t>
      </w:r>
      <w:r>
        <w:t>,00</w:t>
      </w:r>
      <w:r w:rsidR="007F18BB">
        <w:t>)</w:t>
      </w:r>
      <w:r w:rsidR="00BD075A">
        <w:t>,</w:t>
      </w:r>
      <w:r w:rsidR="00F6394E">
        <w:t xml:space="preserve"> </w:t>
      </w:r>
      <w:r>
        <w:t>reservándose el original en la caja fuerte de la Dirección de Compras y Contrataciones.</w:t>
      </w:r>
    </w:p>
    <w:p w:rsidR="00500F0F" w:rsidRDefault="00500F0F" w:rsidP="00C377E3">
      <w:pPr>
        <w:jc w:val="both"/>
      </w:pPr>
      <w:r>
        <w:t xml:space="preserve">A fs. 304/307 </w:t>
      </w:r>
      <w:r w:rsidR="00412DE2">
        <w:t xml:space="preserve">y </w:t>
      </w:r>
      <w:r w:rsidR="00412DE2" w:rsidRPr="00412DE2">
        <w:t>3</w:t>
      </w:r>
      <w:r w:rsidR="00CC6C40">
        <w:t>20</w:t>
      </w:r>
      <w:r w:rsidR="00412DE2" w:rsidRPr="00412DE2">
        <w:t xml:space="preserve">/368 </w:t>
      </w:r>
      <w:r>
        <w:t>obran los antecedentes del oferente como establece el punto 7 del PCP.</w:t>
      </w:r>
      <w:r w:rsidR="00412DE2" w:rsidRPr="00412DE2">
        <w:rPr>
          <w:highlight w:val="yellow"/>
        </w:rPr>
        <w:t xml:space="preserve"> </w:t>
      </w:r>
    </w:p>
    <w:p w:rsidR="00412DE2" w:rsidRPr="00412DE2" w:rsidRDefault="0021160B" w:rsidP="00E13002">
      <w:pPr>
        <w:jc w:val="both"/>
      </w:pPr>
      <w:r w:rsidRPr="00412DE2">
        <w:t>A fs. 309</w:t>
      </w:r>
      <w:r w:rsidR="00500F0F" w:rsidRPr="00412DE2">
        <w:t>/318 consta el r</w:t>
      </w:r>
      <w:r w:rsidR="00412DE2">
        <w:t>esumen ejecutivo de la empresa.</w:t>
      </w:r>
    </w:p>
    <w:p w:rsidR="007A3BF0" w:rsidRPr="007A3BF0" w:rsidRDefault="007A3BF0" w:rsidP="00E13002">
      <w:pPr>
        <w:jc w:val="both"/>
      </w:pPr>
      <w:r w:rsidRPr="007A3BF0">
        <w:t>A</w:t>
      </w:r>
      <w:r w:rsidR="000A05E1" w:rsidRPr="007A3BF0">
        <w:t xml:space="preserve"> fs</w:t>
      </w:r>
      <w:r w:rsidR="00E13002" w:rsidRPr="007A3BF0">
        <w:t xml:space="preserve">. 369/399 </w:t>
      </w:r>
      <w:r w:rsidR="000A05E1" w:rsidRPr="007A3BF0">
        <w:t xml:space="preserve"> </w:t>
      </w:r>
      <w:r>
        <w:t xml:space="preserve">luce </w:t>
      </w:r>
      <w:r w:rsidR="000A05E1" w:rsidRPr="007A3BF0">
        <w:t>la Descripción de la Solución</w:t>
      </w:r>
      <w:r w:rsidRPr="007A3BF0">
        <w:t xml:space="preserve"> de acuerdo a lo establecido en el punto 10.1 </w:t>
      </w:r>
      <w:r>
        <w:t xml:space="preserve">Y 10.2 </w:t>
      </w:r>
      <w:r w:rsidRPr="007A3BF0">
        <w:t>del PCP</w:t>
      </w:r>
      <w:r>
        <w:t>.</w:t>
      </w:r>
    </w:p>
    <w:p w:rsidR="007A3BF0" w:rsidRPr="007A3BF0" w:rsidRDefault="007A3BF0" w:rsidP="00E13002">
      <w:pPr>
        <w:jc w:val="both"/>
      </w:pPr>
      <w:r w:rsidRPr="007A3BF0">
        <w:t>A</w:t>
      </w:r>
      <w:r w:rsidR="000A05E1" w:rsidRPr="007A3BF0">
        <w:t xml:space="preserve"> fs. 400/456 </w:t>
      </w:r>
      <w:r w:rsidRPr="007A3BF0">
        <w:t xml:space="preserve">obra </w:t>
      </w:r>
      <w:r w:rsidR="000A05E1" w:rsidRPr="007A3BF0">
        <w:t>la Metodología de Adopción de SOA y Desarrollo</w:t>
      </w:r>
      <w:r w:rsidRPr="007A3BF0">
        <w:t>, a fs. 469/485 el Plan de aseguramiento de la calidad y a fs. 503/511 la Garantía, Soporte y mantenimiento de acuerdo a lo previsto en el punto</w:t>
      </w:r>
      <w:r w:rsidR="00E13002" w:rsidRPr="007A3BF0">
        <w:t xml:space="preserve"> </w:t>
      </w:r>
      <w:r w:rsidRPr="007A3BF0">
        <w:t>5 del PCP.</w:t>
      </w:r>
    </w:p>
    <w:p w:rsidR="000A05E1" w:rsidRDefault="004C33B7" w:rsidP="00C377E3">
      <w:pPr>
        <w:jc w:val="both"/>
      </w:pPr>
      <w:r w:rsidRPr="004C33B7">
        <w:t>A</w:t>
      </w:r>
      <w:r w:rsidR="000A05E1" w:rsidRPr="004C33B7">
        <w:t xml:space="preserve"> fs. 457/468 se encuentra el Plan de trabajo</w:t>
      </w:r>
      <w:r w:rsidRPr="004C33B7">
        <w:t xml:space="preserve"> como establece el punto 6</w:t>
      </w:r>
      <w:r>
        <w:t>.1</w:t>
      </w:r>
      <w:r w:rsidRPr="004C33B7">
        <w:t xml:space="preserve"> del PCP.</w:t>
      </w:r>
    </w:p>
    <w:p w:rsidR="004C33B7" w:rsidRDefault="004C33B7" w:rsidP="00C377E3">
      <w:pPr>
        <w:jc w:val="both"/>
      </w:pPr>
      <w:r>
        <w:t>A fs. 486/502 obra el Plan de Capacitación establecido en el punto 6.4 del PCP.</w:t>
      </w:r>
    </w:p>
    <w:p w:rsidR="00CD25FB" w:rsidRDefault="009B27E7" w:rsidP="00C377E3">
      <w:pPr>
        <w:jc w:val="both"/>
      </w:pPr>
      <w:r>
        <w:t>A FS. 606/609 obra el resultado del estado reg</w:t>
      </w:r>
      <w:r w:rsidR="004909CB">
        <w:t>istral ante el RIUPP realizado</w:t>
      </w:r>
      <w:r>
        <w:t xml:space="preserve"> por esta Unidad, verificando que se encuentra Desactualizado por Mantención Formulario.</w:t>
      </w:r>
    </w:p>
    <w:p w:rsidR="00C377E3" w:rsidRDefault="00C377E3" w:rsidP="00C377E3">
      <w:pPr>
        <w:jc w:val="both"/>
      </w:pPr>
      <w:r>
        <w:t>A fs. 61</w:t>
      </w:r>
      <w:r w:rsidR="009B27E7">
        <w:t>0</w:t>
      </w:r>
      <w:r>
        <w:t>/61</w:t>
      </w:r>
      <w:r w:rsidR="009B27E7">
        <w:t>1</w:t>
      </w:r>
      <w:r>
        <w:t xml:space="preserve"> obra Nota de esta Unidad dirigida a la Dirección de Informática y Tecnología para la realización del informe técnico </w:t>
      </w:r>
      <w:r w:rsidR="00871AAE">
        <w:t>de la propuesta presentada por el</w:t>
      </w:r>
      <w:r w:rsidR="009B27E7">
        <w:t xml:space="preserve"> </w:t>
      </w:r>
      <w:r>
        <w:t>oferente.</w:t>
      </w:r>
    </w:p>
    <w:p w:rsidR="00445F78" w:rsidRDefault="00C377E3" w:rsidP="009B27E7">
      <w:pPr>
        <w:jc w:val="both"/>
      </w:pPr>
      <w:r>
        <w:t>A fs.61</w:t>
      </w:r>
      <w:r w:rsidR="009B27E7">
        <w:t>2/613</w:t>
      </w:r>
      <w:r>
        <w:t xml:space="preserve"> se incorpora el informe técnico de la Dirección de Informática y Tecnología </w:t>
      </w:r>
      <w:r w:rsidR="009B27E7">
        <w:t>donde informa que no tiene objeciones</w:t>
      </w:r>
      <w:r w:rsidR="00871AAE">
        <w:t xml:space="preserve"> para realizar</w:t>
      </w:r>
      <w:r w:rsidR="009B27E7">
        <w:t xml:space="preserve"> </w:t>
      </w:r>
      <w:r w:rsidR="00445F78">
        <w:t>por lo que considera que el equipamiento ofertado</w:t>
      </w:r>
      <w:r w:rsidR="00871AAE">
        <w:t xml:space="preserve"> por la empresa</w:t>
      </w:r>
      <w:r w:rsidR="00445F78">
        <w:t xml:space="preserve"> </w:t>
      </w:r>
      <w:r w:rsidR="00871AAE">
        <w:t>CUMPLE con lo especificado en los</w:t>
      </w:r>
      <w:r w:rsidR="00445F78">
        <w:t xml:space="preserve"> Pliego</w:t>
      </w:r>
      <w:r w:rsidR="00871AAE">
        <w:t>s</w:t>
      </w:r>
      <w:r w:rsidR="00445F78">
        <w:t>.</w:t>
      </w:r>
    </w:p>
    <w:p w:rsidR="00624D20" w:rsidRDefault="008C3DEA" w:rsidP="009B27E7">
      <w:pPr>
        <w:jc w:val="both"/>
      </w:pPr>
      <w:r>
        <w:t>A fs. 61</w:t>
      </w:r>
      <w:r w:rsidR="002C243C">
        <w:t>5</w:t>
      </w:r>
      <w:r>
        <w:t xml:space="preserve"> luce el mail de pedido de documentación a la empresa.</w:t>
      </w:r>
    </w:p>
    <w:p w:rsidR="002C243C" w:rsidRDefault="002C243C" w:rsidP="009B27E7">
      <w:pPr>
        <w:jc w:val="both"/>
      </w:pPr>
      <w:r>
        <w:t>A fs. 616/621 se encuentra la Actuación N° 26747/15 donde la empresa hace entrega del R.I.U.P.P. solicitado oportunamente por esta Unidad.</w:t>
      </w:r>
    </w:p>
    <w:p w:rsidR="00D727CC" w:rsidRPr="00CF22CB" w:rsidRDefault="00D727CC" w:rsidP="00D727CC">
      <w:pPr>
        <w:rPr>
          <w:b/>
        </w:rPr>
      </w:pPr>
      <w:r w:rsidRPr="00CF22CB">
        <w:rPr>
          <w:b/>
        </w:rPr>
        <w:t xml:space="preserve">Del análisis efectuado y de acuerdo con lo hasta aquí expresado, esta Unidad estima </w:t>
      </w:r>
      <w:r>
        <w:rPr>
          <w:b/>
        </w:rPr>
        <w:t xml:space="preserve">  </w:t>
      </w:r>
      <w:r w:rsidRPr="00CF22CB">
        <w:rPr>
          <w:b/>
        </w:rPr>
        <w:t xml:space="preserve">que la presente debe ser considerada </w:t>
      </w:r>
      <w:r w:rsidRPr="00CF22CB">
        <w:rPr>
          <w:b/>
          <w:u w:val="single"/>
        </w:rPr>
        <w:t xml:space="preserve">OFERTA </w:t>
      </w:r>
      <w:r w:rsidR="005A21C6">
        <w:rPr>
          <w:b/>
          <w:u w:val="single"/>
        </w:rPr>
        <w:t xml:space="preserve"> </w:t>
      </w:r>
      <w:r w:rsidRPr="00CF22CB">
        <w:rPr>
          <w:b/>
          <w:u w:val="single"/>
        </w:rPr>
        <w:t>ADMISIBLE.</w:t>
      </w:r>
    </w:p>
    <w:p w:rsidR="00B27EB0" w:rsidRDefault="00B27EB0" w:rsidP="007B408E">
      <w:pPr>
        <w:ind w:left="360"/>
        <w:jc w:val="both"/>
      </w:pPr>
    </w:p>
    <w:p w:rsidR="00830893" w:rsidRDefault="00830893" w:rsidP="00014E08">
      <w:pPr>
        <w:ind w:left="720"/>
        <w:jc w:val="center"/>
        <w:rPr>
          <w:b/>
          <w:sz w:val="28"/>
          <w:szCs w:val="28"/>
          <w:u w:val="single"/>
        </w:rPr>
      </w:pPr>
      <w:r w:rsidRPr="00DD3637">
        <w:rPr>
          <w:b/>
          <w:sz w:val="28"/>
          <w:szCs w:val="28"/>
          <w:u w:val="single"/>
        </w:rPr>
        <w:lastRenderedPageBreak/>
        <w:t>Conclusión</w:t>
      </w:r>
    </w:p>
    <w:p w:rsidR="00AC08D6" w:rsidRDefault="00830893" w:rsidP="00CE5332">
      <w:pPr>
        <w:jc w:val="both"/>
      </w:pPr>
      <w:r w:rsidRPr="00830893">
        <w:t>D</w:t>
      </w:r>
      <w:r>
        <w:t>el análisis practicado sobre la documentaci</w:t>
      </w:r>
      <w:r w:rsidR="00D84A5D">
        <w:t>ón presentada por el oferente</w:t>
      </w:r>
      <w:r w:rsidR="000F1310">
        <w:t xml:space="preserve"> </w:t>
      </w:r>
      <w:r>
        <w:t xml:space="preserve"> en la participación en esta Licitación Pública N°</w:t>
      </w:r>
      <w:r w:rsidR="00AC08D6">
        <w:t>19</w:t>
      </w:r>
      <w:r>
        <w:t>/201</w:t>
      </w:r>
      <w:r w:rsidR="006570C1">
        <w:t>5</w:t>
      </w:r>
      <w:r w:rsidR="00AC08D6">
        <w:t xml:space="preserve"> </w:t>
      </w:r>
      <w:r w:rsidR="000F1310">
        <w:t xml:space="preserve">de etapa única bajo la modalidad de llave en mano que tiene por objeto </w:t>
      </w:r>
      <w:r w:rsidR="00AC08D6">
        <w:t>la contratación del desarrollo del software para la realización del sistema informático llamado Servicios Informáticos Judiciales (SIJ) – Arquitectura Básica, para el Poder Judicial (áreas administrativa y jurisdiccional) de la C.A.B.A.</w:t>
      </w:r>
      <w:r w:rsidR="003C4015">
        <w:t>,</w:t>
      </w:r>
      <w:r w:rsidR="009D1AF8">
        <w:t xml:space="preserve"> </w:t>
      </w:r>
      <w:r w:rsidR="00AC08D6">
        <w:t xml:space="preserve">esta Unidad de Evaluación de Ofertas entiende que la empresa </w:t>
      </w:r>
      <w:r w:rsidR="00AC08D6" w:rsidRPr="00AC08D6">
        <w:rPr>
          <w:b/>
        </w:rPr>
        <w:t>UNITECH S.A.</w:t>
      </w:r>
      <w:r w:rsidR="00AC08D6">
        <w:t xml:space="preserve"> debe ser considerada </w:t>
      </w:r>
      <w:r w:rsidR="00AC08D6">
        <w:rPr>
          <w:b/>
          <w:u w:val="single"/>
        </w:rPr>
        <w:t>OFERTA ADMISIBLE</w:t>
      </w:r>
      <w:r w:rsidR="003C4015">
        <w:t xml:space="preserve"> .</w:t>
      </w:r>
    </w:p>
    <w:p w:rsidR="009E3E7B" w:rsidRDefault="00822599" w:rsidP="00160FB9">
      <w:pPr>
        <w:jc w:val="both"/>
      </w:pPr>
      <w:r>
        <w:t xml:space="preserve">Por lo expuesto </w:t>
      </w:r>
      <w:r w:rsidR="002619B7">
        <w:t xml:space="preserve">esta Unidad de Evaluación de Ofertas entiende que </w:t>
      </w:r>
      <w:r>
        <w:t xml:space="preserve">corresponde </w:t>
      </w:r>
      <w:proofErr w:type="spellStart"/>
      <w:r>
        <w:t>preadjudicar</w:t>
      </w:r>
      <w:proofErr w:type="spellEnd"/>
      <w:r>
        <w:t xml:space="preserve"> la presente Licitación Pública N°</w:t>
      </w:r>
      <w:r w:rsidR="00AC08D6">
        <w:t>19</w:t>
      </w:r>
      <w:r>
        <w:t>/201</w:t>
      </w:r>
      <w:r w:rsidR="00235A77">
        <w:t>5</w:t>
      </w:r>
      <w:r>
        <w:t xml:space="preserve"> a la firma</w:t>
      </w:r>
      <w:r w:rsidR="00AC08D6">
        <w:t xml:space="preserve"> </w:t>
      </w:r>
      <w:r w:rsidR="00AC08D6" w:rsidRPr="00AC08D6">
        <w:rPr>
          <w:b/>
        </w:rPr>
        <w:t>UNITECH S.A.</w:t>
      </w:r>
      <w:r w:rsidR="00D238EB" w:rsidRPr="00C014EC">
        <w:t xml:space="preserve"> </w:t>
      </w:r>
      <w:r w:rsidRPr="00C014EC">
        <w:t xml:space="preserve">por un monto total de pesos </w:t>
      </w:r>
      <w:r w:rsidR="00AC08D6">
        <w:t xml:space="preserve">Dos </w:t>
      </w:r>
      <w:r w:rsidRPr="00C014EC">
        <w:t>mill</w:t>
      </w:r>
      <w:r w:rsidR="00AC08D6">
        <w:t>o</w:t>
      </w:r>
      <w:r w:rsidRPr="00C014EC">
        <w:t>n</w:t>
      </w:r>
      <w:r w:rsidR="00AC08D6">
        <w:t>es</w:t>
      </w:r>
      <w:r w:rsidRPr="00C014EC">
        <w:t xml:space="preserve"> </w:t>
      </w:r>
      <w:r w:rsidR="00AC08D6">
        <w:t xml:space="preserve">Novecientos </w:t>
      </w:r>
      <w:r w:rsidR="00841584" w:rsidRPr="00C014EC">
        <w:t xml:space="preserve">Noventa y </w:t>
      </w:r>
      <w:r w:rsidR="00E64BEB">
        <w:t xml:space="preserve">Dos </w:t>
      </w:r>
      <w:r w:rsidR="00841584" w:rsidRPr="00C014EC">
        <w:t xml:space="preserve">Mil Quinientos </w:t>
      </w:r>
      <w:r w:rsidR="00D238EB" w:rsidRPr="00C014EC">
        <w:rPr>
          <w:b/>
        </w:rPr>
        <w:t>($</w:t>
      </w:r>
      <w:r w:rsidR="00AC08D6">
        <w:rPr>
          <w:b/>
        </w:rPr>
        <w:t>2</w:t>
      </w:r>
      <w:r w:rsidRPr="00C014EC">
        <w:rPr>
          <w:b/>
        </w:rPr>
        <w:t>.</w:t>
      </w:r>
      <w:r w:rsidR="00841584" w:rsidRPr="00C014EC">
        <w:rPr>
          <w:b/>
        </w:rPr>
        <w:t>99</w:t>
      </w:r>
      <w:r w:rsidR="00AC08D6">
        <w:rPr>
          <w:b/>
        </w:rPr>
        <w:t>2</w:t>
      </w:r>
      <w:r w:rsidR="00841584" w:rsidRPr="00C014EC">
        <w:rPr>
          <w:b/>
        </w:rPr>
        <w:t>.5</w:t>
      </w:r>
      <w:r w:rsidR="00AC08D6">
        <w:rPr>
          <w:b/>
        </w:rPr>
        <w:t>00</w:t>
      </w:r>
      <w:r w:rsidR="00D238EB" w:rsidRPr="00C014EC">
        <w:rPr>
          <w:b/>
        </w:rPr>
        <w:t>,00</w:t>
      </w:r>
      <w:r w:rsidRPr="00C014EC">
        <w:rPr>
          <w:b/>
        </w:rPr>
        <w:t>.-).-</w:t>
      </w:r>
    </w:p>
    <w:p w:rsidR="00C374EC" w:rsidRDefault="00C374EC" w:rsidP="007B408E">
      <w:pPr>
        <w:jc w:val="both"/>
      </w:pPr>
    </w:p>
    <w:p w:rsidR="00C014EC" w:rsidRDefault="00C014EC" w:rsidP="007B408E">
      <w:pPr>
        <w:jc w:val="both"/>
      </w:pPr>
    </w:p>
    <w:p w:rsidR="00C014EC" w:rsidRDefault="00C014EC" w:rsidP="007B408E">
      <w:pPr>
        <w:jc w:val="both"/>
      </w:pPr>
    </w:p>
    <w:p w:rsidR="00C374EC" w:rsidRDefault="00C374EC" w:rsidP="007B408E">
      <w:pPr>
        <w:jc w:val="both"/>
      </w:pPr>
    </w:p>
    <w:p w:rsidR="00C374EC" w:rsidRPr="008825B5" w:rsidRDefault="008825B5" w:rsidP="008825B5">
      <w:pPr>
        <w:ind w:firstLine="708"/>
        <w:jc w:val="both"/>
        <w:rPr>
          <w:b/>
        </w:rPr>
      </w:pPr>
      <w:r w:rsidRPr="008825B5">
        <w:rPr>
          <w:b/>
        </w:rPr>
        <w:t xml:space="preserve">Javiera </w:t>
      </w:r>
      <w:proofErr w:type="spellStart"/>
      <w:r w:rsidRPr="008825B5">
        <w:rPr>
          <w:b/>
        </w:rPr>
        <w:t>Graziano</w:t>
      </w:r>
      <w:proofErr w:type="spellEnd"/>
      <w:r w:rsidRPr="008825B5">
        <w:rPr>
          <w:b/>
        </w:rPr>
        <w:t xml:space="preserve"> </w:t>
      </w:r>
      <w:r w:rsidRPr="008825B5">
        <w:rPr>
          <w:b/>
        </w:rPr>
        <w:tab/>
      </w:r>
      <w:r w:rsidRPr="008825B5">
        <w:rPr>
          <w:b/>
        </w:rPr>
        <w:tab/>
      </w:r>
      <w:r w:rsidR="00C374EC" w:rsidRPr="008825B5">
        <w:rPr>
          <w:b/>
        </w:rPr>
        <w:t xml:space="preserve">Gabriel </w:t>
      </w:r>
      <w:proofErr w:type="spellStart"/>
      <w:r w:rsidR="00C374EC" w:rsidRPr="008825B5">
        <w:rPr>
          <w:b/>
        </w:rPr>
        <w:t>Robirosa</w:t>
      </w:r>
      <w:proofErr w:type="spellEnd"/>
      <w:r w:rsidR="00C374EC" w:rsidRPr="008825B5">
        <w:rPr>
          <w:b/>
        </w:rPr>
        <w:t xml:space="preserve"> </w:t>
      </w:r>
      <w:r w:rsidRPr="008825B5">
        <w:rPr>
          <w:b/>
        </w:rPr>
        <w:tab/>
      </w:r>
      <w:r w:rsidRPr="008825B5">
        <w:rPr>
          <w:b/>
        </w:rPr>
        <w:tab/>
      </w:r>
      <w:r w:rsidR="003B1201">
        <w:rPr>
          <w:b/>
        </w:rPr>
        <w:t xml:space="preserve"> Federico Gallo</w:t>
      </w:r>
    </w:p>
    <w:sectPr w:rsidR="00C374EC" w:rsidRPr="008825B5" w:rsidSect="00953B9C">
      <w:headerReference w:type="default" r:id="rId10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F81" w:rsidRDefault="00B54F81" w:rsidP="007C1FC7">
      <w:pPr>
        <w:spacing w:after="0" w:line="240" w:lineRule="auto"/>
      </w:pPr>
      <w:r>
        <w:separator/>
      </w:r>
    </w:p>
  </w:endnote>
  <w:endnote w:type="continuationSeparator" w:id="0">
    <w:p w:rsidR="00B54F81" w:rsidRDefault="00B54F81" w:rsidP="007C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F81" w:rsidRDefault="00B54F81" w:rsidP="007C1FC7">
      <w:pPr>
        <w:spacing w:after="0" w:line="240" w:lineRule="auto"/>
      </w:pPr>
      <w:r>
        <w:separator/>
      </w:r>
    </w:p>
  </w:footnote>
  <w:footnote w:type="continuationSeparator" w:id="0">
    <w:p w:rsidR="00B54F81" w:rsidRDefault="00B54F81" w:rsidP="007C1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FC7" w:rsidRPr="000110C2" w:rsidRDefault="007C1FC7" w:rsidP="007C1FC7">
    <w:pPr>
      <w:tabs>
        <w:tab w:val="center" w:pos="4252"/>
        <w:tab w:val="right" w:pos="8280"/>
      </w:tabs>
      <w:spacing w:after="0" w:line="240" w:lineRule="auto"/>
      <w:ind w:right="202"/>
      <w:rPr>
        <w:rFonts w:ascii="Times New Roman" w:eastAsia="Times New Roman" w:hAnsi="Times New Roman" w:cs="Times New Roman"/>
        <w:sz w:val="20"/>
        <w:szCs w:val="20"/>
        <w:lang w:val="es-ES" w:eastAsia="es-ES"/>
      </w:rPr>
    </w:pPr>
    <w:r>
      <w:t xml:space="preserve">                                                    </w:t>
    </w:r>
    <w:r w:rsidRPr="000110C2">
      <w:rPr>
        <w:rFonts w:ascii="Times New Roman" w:eastAsia="Times New Roman" w:hAnsi="Times New Roman" w:cs="Times New Roman"/>
        <w:color w:val="0000FF"/>
        <w:sz w:val="20"/>
        <w:szCs w:val="20"/>
        <w:lang w:val="es-ES" w:eastAsia="es-ES"/>
      </w:rPr>
      <w:t xml:space="preserve">           </w:t>
    </w:r>
    <w:r w:rsidRPr="000110C2">
      <w:rPr>
        <w:rFonts w:ascii="Times New Roman" w:eastAsia="Times New Roman" w:hAnsi="Times New Roman" w:cs="Times New Roman"/>
        <w:sz w:val="20"/>
        <w:szCs w:val="20"/>
        <w:lang w:val="es-ES" w:eastAsia="es-ES"/>
      </w:rPr>
      <w:t xml:space="preserve">        </w:t>
    </w:r>
    <w:bookmarkStart w:id="1" w:name="_MON_1241278967"/>
    <w:bookmarkStart w:id="2" w:name="_MON_980534271"/>
    <w:bookmarkStart w:id="3" w:name="_MON_980534865"/>
    <w:bookmarkEnd w:id="1"/>
    <w:bookmarkEnd w:id="2"/>
    <w:bookmarkEnd w:id="3"/>
    <w:bookmarkStart w:id="4" w:name="_MON_1215443415"/>
    <w:bookmarkEnd w:id="4"/>
    <w:r w:rsidRPr="000110C2">
      <w:rPr>
        <w:rFonts w:ascii="Times New Roman" w:eastAsia="Times New Roman" w:hAnsi="Times New Roman" w:cs="Times New Roman"/>
        <w:sz w:val="20"/>
        <w:szCs w:val="20"/>
        <w:lang w:val="es-ES" w:eastAsia="es-ES"/>
      </w:rPr>
      <w:object w:dxaOrig="5168" w:dyaOrig="58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5pt;height:56.95pt" o:ole="" fillcolor="window">
          <v:imagedata r:id="rId1" o:title=""/>
        </v:shape>
        <o:OLEObject Type="Embed" ProgID="Word.Picture.8" ShapeID="_x0000_i1025" DrawAspect="Content" ObjectID="_1506343583" r:id="rId2"/>
      </w:object>
    </w:r>
  </w:p>
  <w:p w:rsidR="007C1FC7" w:rsidRPr="000110C2" w:rsidRDefault="007C1FC7" w:rsidP="007C1FC7">
    <w:pPr>
      <w:tabs>
        <w:tab w:val="center" w:pos="4252"/>
        <w:tab w:val="right" w:pos="8280"/>
      </w:tabs>
      <w:spacing w:after="0" w:line="240" w:lineRule="auto"/>
      <w:rPr>
        <w:rFonts w:ascii="Times New Roman" w:eastAsia="Times New Roman" w:hAnsi="Times New Roman" w:cs="Times New Roman"/>
        <w:color w:val="0000FF"/>
        <w:sz w:val="20"/>
        <w:szCs w:val="20"/>
        <w:lang w:val="es-ES" w:eastAsia="es-ES"/>
      </w:rPr>
    </w:pPr>
  </w:p>
  <w:p w:rsidR="007C1FC7" w:rsidRPr="000110C2" w:rsidRDefault="007C1FC7" w:rsidP="007C1FC7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s-ES" w:eastAsia="es-ES"/>
      </w:rPr>
    </w:pPr>
    <w:r w:rsidRPr="000110C2">
      <w:rPr>
        <w:rFonts w:ascii="Times New Roman" w:eastAsia="Times New Roman" w:hAnsi="Times New Roman" w:cs="Times New Roman"/>
        <w:b/>
        <w:i/>
        <w:sz w:val="28"/>
        <w:szCs w:val="20"/>
        <w:lang w:val="es-ES" w:eastAsia="es-ES"/>
      </w:rPr>
      <w:t>Consejo de la Magistratura de la Ciudad Autónoma de Buenos Aires</w:t>
    </w:r>
  </w:p>
  <w:p w:rsidR="007C1FC7" w:rsidRPr="000110C2" w:rsidRDefault="007C1FC7" w:rsidP="007C1FC7">
    <w:pPr>
      <w:pStyle w:val="Encabezado"/>
      <w:rPr>
        <w:lang w:val="es-ES"/>
      </w:rPr>
    </w:pPr>
  </w:p>
  <w:p w:rsidR="007C1FC7" w:rsidRPr="007C1FC7" w:rsidRDefault="007C1FC7" w:rsidP="007C1FC7">
    <w:pPr>
      <w:pStyle w:val="Encabezado"/>
      <w:tabs>
        <w:tab w:val="clear" w:pos="4419"/>
        <w:tab w:val="clear" w:pos="8838"/>
        <w:tab w:val="left" w:pos="2550"/>
      </w:tabs>
      <w:rPr>
        <w:lang w:val="es-ES"/>
      </w:rPr>
    </w:pPr>
  </w:p>
  <w:p w:rsidR="007C1FC7" w:rsidRDefault="007C1FC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A0B"/>
    <w:multiLevelType w:val="hybridMultilevel"/>
    <w:tmpl w:val="E39EA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96A80"/>
    <w:multiLevelType w:val="hybridMultilevel"/>
    <w:tmpl w:val="AAD2D4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A31D4"/>
    <w:multiLevelType w:val="hybridMultilevel"/>
    <w:tmpl w:val="91C235F0"/>
    <w:lvl w:ilvl="0" w:tplc="2A1CB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05"/>
    <w:rsid w:val="00010F51"/>
    <w:rsid w:val="00014BC0"/>
    <w:rsid w:val="00014E08"/>
    <w:rsid w:val="00021328"/>
    <w:rsid w:val="00025BB3"/>
    <w:rsid w:val="000319DE"/>
    <w:rsid w:val="00034616"/>
    <w:rsid w:val="000426A6"/>
    <w:rsid w:val="00050921"/>
    <w:rsid w:val="0005128A"/>
    <w:rsid w:val="00051AB6"/>
    <w:rsid w:val="00053B37"/>
    <w:rsid w:val="000548E3"/>
    <w:rsid w:val="0006033D"/>
    <w:rsid w:val="0006413F"/>
    <w:rsid w:val="00066AE2"/>
    <w:rsid w:val="0007739D"/>
    <w:rsid w:val="00083705"/>
    <w:rsid w:val="000876CE"/>
    <w:rsid w:val="0009273D"/>
    <w:rsid w:val="000951B9"/>
    <w:rsid w:val="000A05E1"/>
    <w:rsid w:val="000A1AEC"/>
    <w:rsid w:val="000B2CD5"/>
    <w:rsid w:val="000B44A2"/>
    <w:rsid w:val="000B4552"/>
    <w:rsid w:val="000B6FDB"/>
    <w:rsid w:val="000C24B5"/>
    <w:rsid w:val="000C2B75"/>
    <w:rsid w:val="000C5F00"/>
    <w:rsid w:val="000C6440"/>
    <w:rsid w:val="000D1358"/>
    <w:rsid w:val="000D171A"/>
    <w:rsid w:val="000D5B21"/>
    <w:rsid w:val="000E1897"/>
    <w:rsid w:val="000E219D"/>
    <w:rsid w:val="000E2F05"/>
    <w:rsid w:val="000E5FC3"/>
    <w:rsid w:val="000E724C"/>
    <w:rsid w:val="000F1310"/>
    <w:rsid w:val="000F624A"/>
    <w:rsid w:val="00102CB4"/>
    <w:rsid w:val="00102D9B"/>
    <w:rsid w:val="0010552F"/>
    <w:rsid w:val="00125B0A"/>
    <w:rsid w:val="0013182B"/>
    <w:rsid w:val="00131887"/>
    <w:rsid w:val="00136A6B"/>
    <w:rsid w:val="001371B5"/>
    <w:rsid w:val="0013722B"/>
    <w:rsid w:val="00140DFA"/>
    <w:rsid w:val="00146C01"/>
    <w:rsid w:val="00152AE4"/>
    <w:rsid w:val="00160FB9"/>
    <w:rsid w:val="001762E3"/>
    <w:rsid w:val="0017686B"/>
    <w:rsid w:val="00177073"/>
    <w:rsid w:val="00180BCD"/>
    <w:rsid w:val="00181088"/>
    <w:rsid w:val="00191A2D"/>
    <w:rsid w:val="0019614B"/>
    <w:rsid w:val="00196E15"/>
    <w:rsid w:val="001A0262"/>
    <w:rsid w:val="001A23D0"/>
    <w:rsid w:val="001A35A2"/>
    <w:rsid w:val="001A41E3"/>
    <w:rsid w:val="001B22FC"/>
    <w:rsid w:val="001B7BEB"/>
    <w:rsid w:val="001C7CDC"/>
    <w:rsid w:val="001D6A93"/>
    <w:rsid w:val="001E06FE"/>
    <w:rsid w:val="001E1C7E"/>
    <w:rsid w:val="001F08FF"/>
    <w:rsid w:val="001F25B3"/>
    <w:rsid w:val="001F7F6C"/>
    <w:rsid w:val="002054FD"/>
    <w:rsid w:val="00205DEE"/>
    <w:rsid w:val="0021160B"/>
    <w:rsid w:val="00221C00"/>
    <w:rsid w:val="00225D4C"/>
    <w:rsid w:val="00235A77"/>
    <w:rsid w:val="00237F67"/>
    <w:rsid w:val="002434D8"/>
    <w:rsid w:val="00244258"/>
    <w:rsid w:val="00252D39"/>
    <w:rsid w:val="0025373C"/>
    <w:rsid w:val="00257914"/>
    <w:rsid w:val="002619B7"/>
    <w:rsid w:val="0026355F"/>
    <w:rsid w:val="00264168"/>
    <w:rsid w:val="0026422E"/>
    <w:rsid w:val="00266A42"/>
    <w:rsid w:val="00274444"/>
    <w:rsid w:val="002779A6"/>
    <w:rsid w:val="00296F1C"/>
    <w:rsid w:val="002971A1"/>
    <w:rsid w:val="002A240D"/>
    <w:rsid w:val="002A2836"/>
    <w:rsid w:val="002A4809"/>
    <w:rsid w:val="002A7899"/>
    <w:rsid w:val="002B5375"/>
    <w:rsid w:val="002C243C"/>
    <w:rsid w:val="002C25B5"/>
    <w:rsid w:val="002D233B"/>
    <w:rsid w:val="002D6096"/>
    <w:rsid w:val="002D7C7E"/>
    <w:rsid w:val="002E09FC"/>
    <w:rsid w:val="002E2407"/>
    <w:rsid w:val="002F01ED"/>
    <w:rsid w:val="002F5984"/>
    <w:rsid w:val="002F7493"/>
    <w:rsid w:val="003021E2"/>
    <w:rsid w:val="003024C8"/>
    <w:rsid w:val="00310EA2"/>
    <w:rsid w:val="003267B9"/>
    <w:rsid w:val="00330F93"/>
    <w:rsid w:val="00334A67"/>
    <w:rsid w:val="00341D30"/>
    <w:rsid w:val="00342FA1"/>
    <w:rsid w:val="00343B99"/>
    <w:rsid w:val="00344E14"/>
    <w:rsid w:val="00347632"/>
    <w:rsid w:val="00352EBC"/>
    <w:rsid w:val="0035310D"/>
    <w:rsid w:val="00354BA9"/>
    <w:rsid w:val="00367A2B"/>
    <w:rsid w:val="00372AFB"/>
    <w:rsid w:val="0037382B"/>
    <w:rsid w:val="00383233"/>
    <w:rsid w:val="00383E1B"/>
    <w:rsid w:val="00385E0D"/>
    <w:rsid w:val="0039634B"/>
    <w:rsid w:val="003A70D5"/>
    <w:rsid w:val="003B1201"/>
    <w:rsid w:val="003B2A96"/>
    <w:rsid w:val="003B4A52"/>
    <w:rsid w:val="003B5399"/>
    <w:rsid w:val="003B626B"/>
    <w:rsid w:val="003B6A3C"/>
    <w:rsid w:val="003B7B5A"/>
    <w:rsid w:val="003C4015"/>
    <w:rsid w:val="003D749E"/>
    <w:rsid w:val="003D76D3"/>
    <w:rsid w:val="003E0172"/>
    <w:rsid w:val="003E5D00"/>
    <w:rsid w:val="003F2548"/>
    <w:rsid w:val="003F5C8F"/>
    <w:rsid w:val="003F5E3C"/>
    <w:rsid w:val="003F7729"/>
    <w:rsid w:val="0041009B"/>
    <w:rsid w:val="00412DE2"/>
    <w:rsid w:val="0041708D"/>
    <w:rsid w:val="00417779"/>
    <w:rsid w:val="00423285"/>
    <w:rsid w:val="00432526"/>
    <w:rsid w:val="0044522C"/>
    <w:rsid w:val="00445F78"/>
    <w:rsid w:val="00452502"/>
    <w:rsid w:val="0045796A"/>
    <w:rsid w:val="00464C8B"/>
    <w:rsid w:val="0046707C"/>
    <w:rsid w:val="00467A65"/>
    <w:rsid w:val="0047441B"/>
    <w:rsid w:val="004800A4"/>
    <w:rsid w:val="0048717F"/>
    <w:rsid w:val="004909CB"/>
    <w:rsid w:val="00492873"/>
    <w:rsid w:val="004964A3"/>
    <w:rsid w:val="004A0243"/>
    <w:rsid w:val="004B4C96"/>
    <w:rsid w:val="004B6229"/>
    <w:rsid w:val="004B6F33"/>
    <w:rsid w:val="004C02E5"/>
    <w:rsid w:val="004C189D"/>
    <w:rsid w:val="004C33B7"/>
    <w:rsid w:val="004C5200"/>
    <w:rsid w:val="004C6C6C"/>
    <w:rsid w:val="004D0026"/>
    <w:rsid w:val="004D7755"/>
    <w:rsid w:val="004E257A"/>
    <w:rsid w:val="004E7121"/>
    <w:rsid w:val="004F207F"/>
    <w:rsid w:val="004F5A84"/>
    <w:rsid w:val="004F6370"/>
    <w:rsid w:val="00500F0F"/>
    <w:rsid w:val="00524415"/>
    <w:rsid w:val="00525F29"/>
    <w:rsid w:val="00533E7B"/>
    <w:rsid w:val="0053584E"/>
    <w:rsid w:val="00537A94"/>
    <w:rsid w:val="00537B7B"/>
    <w:rsid w:val="00546083"/>
    <w:rsid w:val="00554394"/>
    <w:rsid w:val="00557F06"/>
    <w:rsid w:val="0056034F"/>
    <w:rsid w:val="005622EE"/>
    <w:rsid w:val="00563230"/>
    <w:rsid w:val="00563A0F"/>
    <w:rsid w:val="00563DD3"/>
    <w:rsid w:val="005671D2"/>
    <w:rsid w:val="00573308"/>
    <w:rsid w:val="00573C9D"/>
    <w:rsid w:val="00574217"/>
    <w:rsid w:val="00581A6B"/>
    <w:rsid w:val="00585635"/>
    <w:rsid w:val="00595CCA"/>
    <w:rsid w:val="00597078"/>
    <w:rsid w:val="00597712"/>
    <w:rsid w:val="005A21C6"/>
    <w:rsid w:val="005A6FCB"/>
    <w:rsid w:val="005A7F8F"/>
    <w:rsid w:val="005B6A49"/>
    <w:rsid w:val="005B6DBF"/>
    <w:rsid w:val="005E0F79"/>
    <w:rsid w:val="005E1309"/>
    <w:rsid w:val="005F0DAF"/>
    <w:rsid w:val="00604527"/>
    <w:rsid w:val="006059BD"/>
    <w:rsid w:val="006077DA"/>
    <w:rsid w:val="006144D6"/>
    <w:rsid w:val="00616EDA"/>
    <w:rsid w:val="006205C3"/>
    <w:rsid w:val="00624D20"/>
    <w:rsid w:val="006345AB"/>
    <w:rsid w:val="00642440"/>
    <w:rsid w:val="00651E37"/>
    <w:rsid w:val="006570C1"/>
    <w:rsid w:val="00670ECC"/>
    <w:rsid w:val="0067779A"/>
    <w:rsid w:val="00682F63"/>
    <w:rsid w:val="00683549"/>
    <w:rsid w:val="006848B9"/>
    <w:rsid w:val="00692C31"/>
    <w:rsid w:val="006951A5"/>
    <w:rsid w:val="006A0510"/>
    <w:rsid w:val="006B0BC9"/>
    <w:rsid w:val="006B2D86"/>
    <w:rsid w:val="006B323E"/>
    <w:rsid w:val="006B3FB8"/>
    <w:rsid w:val="006B6EF3"/>
    <w:rsid w:val="006C00EA"/>
    <w:rsid w:val="006C0E21"/>
    <w:rsid w:val="006C47E5"/>
    <w:rsid w:val="006D2EF0"/>
    <w:rsid w:val="006D7191"/>
    <w:rsid w:val="006D71DF"/>
    <w:rsid w:val="00710190"/>
    <w:rsid w:val="00710B7F"/>
    <w:rsid w:val="007117AA"/>
    <w:rsid w:val="00715BBF"/>
    <w:rsid w:val="007227B7"/>
    <w:rsid w:val="007241EE"/>
    <w:rsid w:val="00727B7E"/>
    <w:rsid w:val="007361F3"/>
    <w:rsid w:val="00736BE1"/>
    <w:rsid w:val="00750973"/>
    <w:rsid w:val="00750E64"/>
    <w:rsid w:val="007527FF"/>
    <w:rsid w:val="00755CF3"/>
    <w:rsid w:val="007578EE"/>
    <w:rsid w:val="00766493"/>
    <w:rsid w:val="007676FE"/>
    <w:rsid w:val="007677E7"/>
    <w:rsid w:val="00770CE5"/>
    <w:rsid w:val="00784875"/>
    <w:rsid w:val="0079043E"/>
    <w:rsid w:val="00794013"/>
    <w:rsid w:val="007962C4"/>
    <w:rsid w:val="007A3BF0"/>
    <w:rsid w:val="007A4249"/>
    <w:rsid w:val="007B019D"/>
    <w:rsid w:val="007B2D60"/>
    <w:rsid w:val="007B408E"/>
    <w:rsid w:val="007B4241"/>
    <w:rsid w:val="007C1FC7"/>
    <w:rsid w:val="007C3205"/>
    <w:rsid w:val="007C3B72"/>
    <w:rsid w:val="007C7A48"/>
    <w:rsid w:val="007D374F"/>
    <w:rsid w:val="007D442D"/>
    <w:rsid w:val="007D4DB7"/>
    <w:rsid w:val="007D5133"/>
    <w:rsid w:val="007D69C6"/>
    <w:rsid w:val="007E1DC0"/>
    <w:rsid w:val="007E5029"/>
    <w:rsid w:val="007E623A"/>
    <w:rsid w:val="007E7A28"/>
    <w:rsid w:val="007F18BB"/>
    <w:rsid w:val="007F2350"/>
    <w:rsid w:val="007F6022"/>
    <w:rsid w:val="007F785F"/>
    <w:rsid w:val="00802AA5"/>
    <w:rsid w:val="00803D97"/>
    <w:rsid w:val="00807B34"/>
    <w:rsid w:val="00821190"/>
    <w:rsid w:val="00822599"/>
    <w:rsid w:val="0082273C"/>
    <w:rsid w:val="00824DA2"/>
    <w:rsid w:val="00825BAC"/>
    <w:rsid w:val="00825C7F"/>
    <w:rsid w:val="00826395"/>
    <w:rsid w:val="00827808"/>
    <w:rsid w:val="00830893"/>
    <w:rsid w:val="0083244C"/>
    <w:rsid w:val="008356A0"/>
    <w:rsid w:val="008357E7"/>
    <w:rsid w:val="0084076D"/>
    <w:rsid w:val="00841584"/>
    <w:rsid w:val="00844F5A"/>
    <w:rsid w:val="00851F7B"/>
    <w:rsid w:val="00855AFC"/>
    <w:rsid w:val="00865522"/>
    <w:rsid w:val="008712FC"/>
    <w:rsid w:val="0087181D"/>
    <w:rsid w:val="00871AAE"/>
    <w:rsid w:val="00881333"/>
    <w:rsid w:val="008823A6"/>
    <w:rsid w:val="008825B5"/>
    <w:rsid w:val="00885A8E"/>
    <w:rsid w:val="0088645E"/>
    <w:rsid w:val="00892818"/>
    <w:rsid w:val="00892ABA"/>
    <w:rsid w:val="00892DFB"/>
    <w:rsid w:val="00895E6D"/>
    <w:rsid w:val="008B1E63"/>
    <w:rsid w:val="008B2E9A"/>
    <w:rsid w:val="008C0579"/>
    <w:rsid w:val="008C2445"/>
    <w:rsid w:val="008C3DEA"/>
    <w:rsid w:val="008C79C9"/>
    <w:rsid w:val="008D1DAC"/>
    <w:rsid w:val="008D319A"/>
    <w:rsid w:val="008D3517"/>
    <w:rsid w:val="008D5489"/>
    <w:rsid w:val="008D578E"/>
    <w:rsid w:val="008D7686"/>
    <w:rsid w:val="008F0BAA"/>
    <w:rsid w:val="0090141F"/>
    <w:rsid w:val="00903FBE"/>
    <w:rsid w:val="00912EAE"/>
    <w:rsid w:val="00917AA4"/>
    <w:rsid w:val="009223E5"/>
    <w:rsid w:val="00924DFC"/>
    <w:rsid w:val="00936699"/>
    <w:rsid w:val="00937F3F"/>
    <w:rsid w:val="00943F6A"/>
    <w:rsid w:val="00946825"/>
    <w:rsid w:val="0095312B"/>
    <w:rsid w:val="00953B9C"/>
    <w:rsid w:val="009654F6"/>
    <w:rsid w:val="00976BCD"/>
    <w:rsid w:val="00983AB6"/>
    <w:rsid w:val="00983E44"/>
    <w:rsid w:val="009907E4"/>
    <w:rsid w:val="00997712"/>
    <w:rsid w:val="009A1F4A"/>
    <w:rsid w:val="009A2944"/>
    <w:rsid w:val="009A76DE"/>
    <w:rsid w:val="009B27E7"/>
    <w:rsid w:val="009B299F"/>
    <w:rsid w:val="009B558D"/>
    <w:rsid w:val="009B5E1D"/>
    <w:rsid w:val="009B6162"/>
    <w:rsid w:val="009D08BD"/>
    <w:rsid w:val="009D1AF8"/>
    <w:rsid w:val="009D3203"/>
    <w:rsid w:val="009E0C9E"/>
    <w:rsid w:val="009E3E7B"/>
    <w:rsid w:val="009F03DA"/>
    <w:rsid w:val="009F1711"/>
    <w:rsid w:val="009F3A09"/>
    <w:rsid w:val="009F58A2"/>
    <w:rsid w:val="009F689D"/>
    <w:rsid w:val="00A04CAB"/>
    <w:rsid w:val="00A056F4"/>
    <w:rsid w:val="00A062DE"/>
    <w:rsid w:val="00A0661C"/>
    <w:rsid w:val="00A202C4"/>
    <w:rsid w:val="00A25C1E"/>
    <w:rsid w:val="00A2727B"/>
    <w:rsid w:val="00A30D3B"/>
    <w:rsid w:val="00A357EA"/>
    <w:rsid w:val="00A35B98"/>
    <w:rsid w:val="00A504EC"/>
    <w:rsid w:val="00A52CDD"/>
    <w:rsid w:val="00A54FB5"/>
    <w:rsid w:val="00A56C10"/>
    <w:rsid w:val="00A577B0"/>
    <w:rsid w:val="00A73ED3"/>
    <w:rsid w:val="00A81AD4"/>
    <w:rsid w:val="00AA1828"/>
    <w:rsid w:val="00AA4407"/>
    <w:rsid w:val="00AA7996"/>
    <w:rsid w:val="00AB1E65"/>
    <w:rsid w:val="00AB2F8F"/>
    <w:rsid w:val="00AC08D6"/>
    <w:rsid w:val="00AC27FB"/>
    <w:rsid w:val="00AE0F6A"/>
    <w:rsid w:val="00AE4C0C"/>
    <w:rsid w:val="00AF232E"/>
    <w:rsid w:val="00B00827"/>
    <w:rsid w:val="00B022F4"/>
    <w:rsid w:val="00B02F9F"/>
    <w:rsid w:val="00B04913"/>
    <w:rsid w:val="00B13E8D"/>
    <w:rsid w:val="00B165A4"/>
    <w:rsid w:val="00B24300"/>
    <w:rsid w:val="00B26BFD"/>
    <w:rsid w:val="00B27EB0"/>
    <w:rsid w:val="00B32140"/>
    <w:rsid w:val="00B407A5"/>
    <w:rsid w:val="00B51F36"/>
    <w:rsid w:val="00B52ACD"/>
    <w:rsid w:val="00B54F81"/>
    <w:rsid w:val="00B5617B"/>
    <w:rsid w:val="00B674BF"/>
    <w:rsid w:val="00B75038"/>
    <w:rsid w:val="00B761C9"/>
    <w:rsid w:val="00B76B1D"/>
    <w:rsid w:val="00B87572"/>
    <w:rsid w:val="00B87626"/>
    <w:rsid w:val="00B91300"/>
    <w:rsid w:val="00B941D1"/>
    <w:rsid w:val="00B944E1"/>
    <w:rsid w:val="00BA162B"/>
    <w:rsid w:val="00BA1737"/>
    <w:rsid w:val="00BB4919"/>
    <w:rsid w:val="00BB500E"/>
    <w:rsid w:val="00BB5219"/>
    <w:rsid w:val="00BB6818"/>
    <w:rsid w:val="00BB786D"/>
    <w:rsid w:val="00BC277B"/>
    <w:rsid w:val="00BC27AC"/>
    <w:rsid w:val="00BC3049"/>
    <w:rsid w:val="00BC3C61"/>
    <w:rsid w:val="00BD075A"/>
    <w:rsid w:val="00BD6A98"/>
    <w:rsid w:val="00BE02AA"/>
    <w:rsid w:val="00BE275B"/>
    <w:rsid w:val="00BE2871"/>
    <w:rsid w:val="00BE7456"/>
    <w:rsid w:val="00BF4A57"/>
    <w:rsid w:val="00C008F2"/>
    <w:rsid w:val="00C014EC"/>
    <w:rsid w:val="00C01AFE"/>
    <w:rsid w:val="00C1043A"/>
    <w:rsid w:val="00C10550"/>
    <w:rsid w:val="00C15890"/>
    <w:rsid w:val="00C233B7"/>
    <w:rsid w:val="00C25BCE"/>
    <w:rsid w:val="00C3717F"/>
    <w:rsid w:val="00C374EC"/>
    <w:rsid w:val="00C377E3"/>
    <w:rsid w:val="00C3793D"/>
    <w:rsid w:val="00C4114B"/>
    <w:rsid w:val="00C426BF"/>
    <w:rsid w:val="00C438AB"/>
    <w:rsid w:val="00C44AD9"/>
    <w:rsid w:val="00C51F51"/>
    <w:rsid w:val="00C5689D"/>
    <w:rsid w:val="00C607DF"/>
    <w:rsid w:val="00C63B19"/>
    <w:rsid w:val="00C63D01"/>
    <w:rsid w:val="00C656EF"/>
    <w:rsid w:val="00C7080B"/>
    <w:rsid w:val="00C71384"/>
    <w:rsid w:val="00C729F0"/>
    <w:rsid w:val="00C7405C"/>
    <w:rsid w:val="00C75935"/>
    <w:rsid w:val="00C76124"/>
    <w:rsid w:val="00C80CE0"/>
    <w:rsid w:val="00C81EF3"/>
    <w:rsid w:val="00C8399F"/>
    <w:rsid w:val="00C87EF0"/>
    <w:rsid w:val="00C975E0"/>
    <w:rsid w:val="00CB1F58"/>
    <w:rsid w:val="00CB53A7"/>
    <w:rsid w:val="00CC0081"/>
    <w:rsid w:val="00CC0AED"/>
    <w:rsid w:val="00CC6C40"/>
    <w:rsid w:val="00CD25FB"/>
    <w:rsid w:val="00CD4FE8"/>
    <w:rsid w:val="00CE459E"/>
    <w:rsid w:val="00CE5332"/>
    <w:rsid w:val="00CE67F4"/>
    <w:rsid w:val="00CF22CB"/>
    <w:rsid w:val="00D1307F"/>
    <w:rsid w:val="00D21898"/>
    <w:rsid w:val="00D238EB"/>
    <w:rsid w:val="00D33692"/>
    <w:rsid w:val="00D36AB3"/>
    <w:rsid w:val="00D403C2"/>
    <w:rsid w:val="00D409E3"/>
    <w:rsid w:val="00D44FB6"/>
    <w:rsid w:val="00D51E90"/>
    <w:rsid w:val="00D5211F"/>
    <w:rsid w:val="00D527C9"/>
    <w:rsid w:val="00D571AD"/>
    <w:rsid w:val="00D573C7"/>
    <w:rsid w:val="00D57FF8"/>
    <w:rsid w:val="00D6158E"/>
    <w:rsid w:val="00D638BE"/>
    <w:rsid w:val="00D70C56"/>
    <w:rsid w:val="00D727CC"/>
    <w:rsid w:val="00D810CD"/>
    <w:rsid w:val="00D84A5D"/>
    <w:rsid w:val="00D93922"/>
    <w:rsid w:val="00D93AD5"/>
    <w:rsid w:val="00D952BF"/>
    <w:rsid w:val="00D95B93"/>
    <w:rsid w:val="00DA2F94"/>
    <w:rsid w:val="00DA4590"/>
    <w:rsid w:val="00DB1C82"/>
    <w:rsid w:val="00DB2520"/>
    <w:rsid w:val="00DB7A93"/>
    <w:rsid w:val="00DC2143"/>
    <w:rsid w:val="00DC3CFF"/>
    <w:rsid w:val="00DC5164"/>
    <w:rsid w:val="00DC58CD"/>
    <w:rsid w:val="00DC616A"/>
    <w:rsid w:val="00DC7089"/>
    <w:rsid w:val="00DD3637"/>
    <w:rsid w:val="00DD6158"/>
    <w:rsid w:val="00DF1DCE"/>
    <w:rsid w:val="00E13002"/>
    <w:rsid w:val="00E174F6"/>
    <w:rsid w:val="00E17E76"/>
    <w:rsid w:val="00E21E52"/>
    <w:rsid w:val="00E24F4F"/>
    <w:rsid w:val="00E30034"/>
    <w:rsid w:val="00E443F6"/>
    <w:rsid w:val="00E5640A"/>
    <w:rsid w:val="00E60116"/>
    <w:rsid w:val="00E64BEB"/>
    <w:rsid w:val="00E656BB"/>
    <w:rsid w:val="00E7044E"/>
    <w:rsid w:val="00E72EC4"/>
    <w:rsid w:val="00E800A7"/>
    <w:rsid w:val="00E80A62"/>
    <w:rsid w:val="00E8102F"/>
    <w:rsid w:val="00E826C9"/>
    <w:rsid w:val="00E85D7C"/>
    <w:rsid w:val="00E85F42"/>
    <w:rsid w:val="00E90F2B"/>
    <w:rsid w:val="00E915C4"/>
    <w:rsid w:val="00E95BF5"/>
    <w:rsid w:val="00EA4633"/>
    <w:rsid w:val="00EA726A"/>
    <w:rsid w:val="00EB5AB7"/>
    <w:rsid w:val="00EC0B36"/>
    <w:rsid w:val="00EC257D"/>
    <w:rsid w:val="00EC2DFB"/>
    <w:rsid w:val="00EC668D"/>
    <w:rsid w:val="00ED55BE"/>
    <w:rsid w:val="00ED6E51"/>
    <w:rsid w:val="00EE176A"/>
    <w:rsid w:val="00EE4E08"/>
    <w:rsid w:val="00EE5DB6"/>
    <w:rsid w:val="00EF266F"/>
    <w:rsid w:val="00EF44C2"/>
    <w:rsid w:val="00EF7BAD"/>
    <w:rsid w:val="00F0402A"/>
    <w:rsid w:val="00F04E1B"/>
    <w:rsid w:val="00F12E3E"/>
    <w:rsid w:val="00F15906"/>
    <w:rsid w:val="00F15F6B"/>
    <w:rsid w:val="00F170E8"/>
    <w:rsid w:val="00F25E15"/>
    <w:rsid w:val="00F33836"/>
    <w:rsid w:val="00F6394E"/>
    <w:rsid w:val="00F6579D"/>
    <w:rsid w:val="00F669CD"/>
    <w:rsid w:val="00F815A7"/>
    <w:rsid w:val="00F84F94"/>
    <w:rsid w:val="00F87672"/>
    <w:rsid w:val="00FA0C4D"/>
    <w:rsid w:val="00FA4FE7"/>
    <w:rsid w:val="00FA519C"/>
    <w:rsid w:val="00FA589B"/>
    <w:rsid w:val="00FA5934"/>
    <w:rsid w:val="00FA7BF7"/>
    <w:rsid w:val="00FB0C7D"/>
    <w:rsid w:val="00FB5C4C"/>
    <w:rsid w:val="00FC5E81"/>
    <w:rsid w:val="00FE7DB8"/>
    <w:rsid w:val="00FF5ACE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9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A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369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FC7"/>
  </w:style>
  <w:style w:type="paragraph" w:styleId="Piedepgina">
    <w:name w:val="footer"/>
    <w:basedOn w:val="Normal"/>
    <w:link w:val="Piedepgina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F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6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69C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02AA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369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1FC7"/>
  </w:style>
  <w:style w:type="paragraph" w:styleId="Piedepgina">
    <w:name w:val="footer"/>
    <w:basedOn w:val="Normal"/>
    <w:link w:val="PiedepginaCar"/>
    <w:uiPriority w:val="99"/>
    <w:unhideWhenUsed/>
    <w:rsid w:val="007C1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omercial@unitech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88E89-3223-47AA-9D69-BC4F2A418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1784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DIT</Company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grobirosa</dc:creator>
  <cp:lastModifiedBy>fperalta</cp:lastModifiedBy>
  <cp:revision>100</cp:revision>
  <cp:lastPrinted>2015-10-14T18:59:00Z</cp:lastPrinted>
  <dcterms:created xsi:type="dcterms:W3CDTF">2015-10-05T13:43:00Z</dcterms:created>
  <dcterms:modified xsi:type="dcterms:W3CDTF">2015-10-14T19:00:00Z</dcterms:modified>
</cp:coreProperties>
</file>