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2C" w:rsidRPr="00847BC4" w:rsidRDefault="0054382C" w:rsidP="0054382C">
      <w:pPr>
        <w:jc w:val="center"/>
        <w:outlineLvl w:val="0"/>
        <w:rPr>
          <w:b/>
          <w:bCs/>
          <w:sz w:val="30"/>
          <w:szCs w:val="30"/>
        </w:rPr>
      </w:pPr>
      <w:r>
        <w:rPr>
          <w:b/>
          <w:bCs/>
          <w:sz w:val="30"/>
          <w:szCs w:val="30"/>
        </w:rPr>
        <w:t xml:space="preserve">   </w:t>
      </w:r>
      <w:r w:rsidRPr="00847BC4">
        <w:rPr>
          <w:b/>
          <w:bCs/>
          <w:sz w:val="30"/>
          <w:szCs w:val="30"/>
          <w:u w:val="single"/>
        </w:rPr>
        <w:t>DICTAMEN DE EVALUACIÓN DE OFERTAS</w:t>
      </w:r>
    </w:p>
    <w:p w:rsidR="0054382C" w:rsidRPr="00847BC4" w:rsidRDefault="0054382C" w:rsidP="0054382C">
      <w:pPr>
        <w:jc w:val="right"/>
        <w:outlineLvl w:val="0"/>
        <w:rPr>
          <w:sz w:val="24"/>
          <w:szCs w:val="24"/>
        </w:rPr>
      </w:pPr>
    </w:p>
    <w:p w:rsidR="0054382C" w:rsidRPr="00847BC4" w:rsidRDefault="0054382C" w:rsidP="0054382C">
      <w:pPr>
        <w:pStyle w:val="Ttulo8"/>
        <w:rPr>
          <w:szCs w:val="24"/>
        </w:rPr>
      </w:pPr>
    </w:p>
    <w:p w:rsidR="0054382C" w:rsidRPr="00847BC4" w:rsidRDefault="0054382C" w:rsidP="0054382C"/>
    <w:p w:rsidR="0054382C" w:rsidRPr="00847BC4" w:rsidRDefault="0054382C" w:rsidP="0054382C">
      <w:pPr>
        <w:pStyle w:val="Textoindependiente"/>
        <w:jc w:val="right"/>
      </w:pPr>
      <w:r w:rsidRPr="00847BC4">
        <w:t>Ciudad de Buenos Aires,</w:t>
      </w:r>
      <w:r w:rsidR="00B55F60">
        <w:t xml:space="preserve"> 10</w:t>
      </w:r>
      <w:r w:rsidRPr="00847BC4">
        <w:t xml:space="preserve"> de diciembre de 2013</w:t>
      </w:r>
    </w:p>
    <w:p w:rsidR="0054382C" w:rsidRPr="00847BC4" w:rsidRDefault="0054382C" w:rsidP="0054382C">
      <w:pPr>
        <w:pStyle w:val="Textoindependiente"/>
        <w:rPr>
          <w:b/>
          <w:bCs/>
          <w:sz w:val="20"/>
        </w:rPr>
      </w:pPr>
      <w:r w:rsidRPr="00847BC4">
        <w:rPr>
          <w:b/>
          <w:bCs/>
          <w:sz w:val="20"/>
        </w:rPr>
        <w:t xml:space="preserve"> </w:t>
      </w:r>
    </w:p>
    <w:p w:rsidR="0054382C" w:rsidRPr="00847BC4" w:rsidRDefault="0054382C" w:rsidP="0054382C">
      <w:pPr>
        <w:pStyle w:val="Textoindependiente"/>
        <w:rPr>
          <w:b/>
          <w:bCs/>
          <w:sz w:val="20"/>
        </w:rPr>
      </w:pPr>
    </w:p>
    <w:p w:rsidR="0054382C" w:rsidRPr="00847BC4" w:rsidRDefault="0054382C" w:rsidP="0054382C">
      <w:pPr>
        <w:pStyle w:val="Textoindependiente"/>
        <w:rPr>
          <w:b/>
          <w:bCs/>
          <w:sz w:val="20"/>
        </w:rPr>
      </w:pPr>
    </w:p>
    <w:p w:rsidR="0054382C" w:rsidRPr="00847BC4" w:rsidRDefault="0054382C" w:rsidP="0054382C">
      <w:pPr>
        <w:ind w:left="705" w:hanging="705"/>
        <w:jc w:val="both"/>
        <w:rPr>
          <w:b/>
          <w:sz w:val="24"/>
          <w:lang w:val="es-ES_tradnl"/>
        </w:rPr>
      </w:pPr>
      <w:r w:rsidRPr="00847BC4">
        <w:rPr>
          <w:b/>
          <w:sz w:val="24"/>
          <w:lang w:val="es-ES_tradnl"/>
        </w:rPr>
        <w:t>Ref.:</w:t>
      </w:r>
      <w:r w:rsidRPr="00847BC4">
        <w:rPr>
          <w:b/>
          <w:sz w:val="24"/>
          <w:lang w:val="es-ES_tradnl"/>
        </w:rPr>
        <w:tab/>
        <w:t xml:space="preserve">Exp. CM Nº DCC 303/13-0 - Licitación Pública Nº 27/2013 </w:t>
      </w:r>
      <w:r w:rsidRPr="00847BC4">
        <w:rPr>
          <w:b/>
          <w:sz w:val="24"/>
          <w:lang w:val="es-ES_tradnl"/>
        </w:rPr>
        <w:tab/>
        <w:t xml:space="preserve">tendiente a la adquisición de computadoras “all </w:t>
      </w:r>
      <w:bookmarkStart w:id="0" w:name="_GoBack"/>
      <w:bookmarkEnd w:id="0"/>
      <w:r w:rsidRPr="00847BC4">
        <w:rPr>
          <w:b/>
          <w:sz w:val="24"/>
          <w:lang w:val="es-ES_tradnl"/>
        </w:rPr>
        <w:t>in one” destinadas al Poder Judicial de la Ciudad Autónoma de Buenos Aires</w:t>
      </w:r>
    </w:p>
    <w:p w:rsidR="0054382C" w:rsidRPr="00847BC4" w:rsidRDefault="0054382C" w:rsidP="0054382C">
      <w:pPr>
        <w:jc w:val="both"/>
        <w:rPr>
          <w:sz w:val="24"/>
          <w:szCs w:val="24"/>
          <w:lang w:val="es-ES_tradnl"/>
        </w:rPr>
      </w:pPr>
    </w:p>
    <w:p w:rsidR="0054382C" w:rsidRPr="00847BC4" w:rsidRDefault="0054382C" w:rsidP="0054382C">
      <w:pPr>
        <w:jc w:val="both"/>
        <w:rPr>
          <w:sz w:val="24"/>
          <w:szCs w:val="24"/>
        </w:rPr>
      </w:pPr>
    </w:p>
    <w:p w:rsidR="0054382C" w:rsidRPr="00847BC4" w:rsidRDefault="0054382C" w:rsidP="0054382C">
      <w:pPr>
        <w:jc w:val="both"/>
        <w:rPr>
          <w:sz w:val="24"/>
          <w:szCs w:val="24"/>
        </w:rPr>
      </w:pPr>
      <w:r w:rsidRPr="00847BC4">
        <w:rPr>
          <w:sz w:val="24"/>
          <w:szCs w:val="24"/>
        </w:rPr>
        <w:t xml:space="preserve">Llega este expediente a conocimiento de la Comisión de Preadjudicaciones, a fin de dictaminar en la Licitación Pública de la referencia, con un presupuesto  oficial  estimado  en </w:t>
      </w:r>
      <w:r w:rsidR="00847BC4" w:rsidRPr="00847BC4">
        <w:rPr>
          <w:sz w:val="24"/>
          <w:szCs w:val="24"/>
        </w:rPr>
        <w:t>pesos</w:t>
      </w:r>
      <w:r w:rsidRPr="00847BC4">
        <w:rPr>
          <w:sz w:val="24"/>
          <w:szCs w:val="24"/>
        </w:rPr>
        <w:t xml:space="preserve"> </w:t>
      </w:r>
      <w:r w:rsidR="00847BC4" w:rsidRPr="00847BC4">
        <w:rPr>
          <w:sz w:val="24"/>
          <w:szCs w:val="24"/>
        </w:rPr>
        <w:t>Dos millones quinientos treinta y seis mil ochocientos</w:t>
      </w:r>
      <w:r w:rsidRPr="00847BC4">
        <w:rPr>
          <w:sz w:val="24"/>
          <w:szCs w:val="24"/>
        </w:rPr>
        <w:t xml:space="preserve"> (</w:t>
      </w:r>
      <w:r w:rsidR="00847BC4" w:rsidRPr="00847BC4">
        <w:rPr>
          <w:sz w:val="24"/>
          <w:szCs w:val="24"/>
        </w:rPr>
        <w:t>$</w:t>
      </w:r>
      <w:r w:rsidRPr="00847BC4">
        <w:rPr>
          <w:sz w:val="24"/>
          <w:szCs w:val="24"/>
        </w:rPr>
        <w:t xml:space="preserve"> </w:t>
      </w:r>
      <w:r w:rsidR="00847BC4" w:rsidRPr="00847BC4">
        <w:rPr>
          <w:sz w:val="24"/>
          <w:szCs w:val="24"/>
        </w:rPr>
        <w:t>2.536.800.-</w:t>
      </w:r>
      <w:r w:rsidRPr="00847BC4">
        <w:rPr>
          <w:sz w:val="24"/>
          <w:szCs w:val="24"/>
        </w:rPr>
        <w:t>).</w:t>
      </w:r>
    </w:p>
    <w:p w:rsidR="0054382C" w:rsidRPr="0054382C" w:rsidRDefault="0054382C" w:rsidP="0054382C">
      <w:pPr>
        <w:jc w:val="both"/>
        <w:rPr>
          <w:sz w:val="24"/>
          <w:szCs w:val="24"/>
          <w:highlight w:val="yellow"/>
        </w:rPr>
      </w:pPr>
    </w:p>
    <w:p w:rsidR="0054382C" w:rsidRPr="00847BC4" w:rsidRDefault="0054382C" w:rsidP="0054382C">
      <w:pPr>
        <w:jc w:val="both"/>
        <w:rPr>
          <w:sz w:val="24"/>
          <w:szCs w:val="24"/>
          <w:lang w:val="es-ES_tradnl"/>
        </w:rPr>
      </w:pPr>
      <w:r w:rsidRPr="00847BC4">
        <w:rPr>
          <w:sz w:val="24"/>
          <w:szCs w:val="24"/>
          <w:lang w:val="es-ES_tradnl"/>
        </w:rPr>
        <w:t>A fs. 1/</w:t>
      </w:r>
      <w:r w:rsidR="00847BC4" w:rsidRPr="00847BC4">
        <w:rPr>
          <w:sz w:val="24"/>
          <w:szCs w:val="24"/>
          <w:lang w:val="es-ES_tradnl"/>
        </w:rPr>
        <w:t>1</w:t>
      </w:r>
      <w:r w:rsidRPr="00847BC4">
        <w:rPr>
          <w:sz w:val="24"/>
          <w:szCs w:val="24"/>
          <w:lang w:val="es-ES_tradnl"/>
        </w:rPr>
        <w:t xml:space="preserve">5 obran los antecedentes </w:t>
      </w:r>
      <w:r w:rsidR="00847BC4">
        <w:rPr>
          <w:sz w:val="24"/>
          <w:szCs w:val="24"/>
          <w:lang w:val="es-ES_tradnl"/>
        </w:rPr>
        <w:t>acreditando</w:t>
      </w:r>
      <w:r w:rsidRPr="00847BC4">
        <w:rPr>
          <w:sz w:val="24"/>
          <w:szCs w:val="24"/>
          <w:lang w:val="es-ES_tradnl"/>
        </w:rPr>
        <w:t xml:space="preserve"> la necesidad de </w:t>
      </w:r>
      <w:r w:rsidR="00847BC4">
        <w:rPr>
          <w:sz w:val="24"/>
          <w:szCs w:val="24"/>
          <w:lang w:val="es-ES_tradnl"/>
        </w:rPr>
        <w:t>proceder a la presente contratación</w:t>
      </w:r>
      <w:r w:rsidRPr="00847BC4">
        <w:rPr>
          <w:sz w:val="24"/>
          <w:szCs w:val="24"/>
          <w:lang w:val="es-ES_tradnl"/>
        </w:rPr>
        <w:t xml:space="preserve">. </w:t>
      </w:r>
    </w:p>
    <w:p w:rsidR="0054382C" w:rsidRPr="0054382C" w:rsidRDefault="0054382C" w:rsidP="0054382C">
      <w:pPr>
        <w:jc w:val="both"/>
        <w:rPr>
          <w:sz w:val="24"/>
          <w:szCs w:val="24"/>
          <w:highlight w:val="yellow"/>
          <w:lang w:val="es-ES_tradnl"/>
        </w:rPr>
      </w:pPr>
    </w:p>
    <w:p w:rsidR="0054382C" w:rsidRPr="0069325C" w:rsidRDefault="0069325C" w:rsidP="0054382C">
      <w:pPr>
        <w:jc w:val="both"/>
        <w:rPr>
          <w:sz w:val="24"/>
          <w:szCs w:val="24"/>
          <w:lang w:val="es-ES_tradnl"/>
        </w:rPr>
      </w:pPr>
      <w:r w:rsidRPr="0069325C">
        <w:rPr>
          <w:sz w:val="24"/>
          <w:szCs w:val="24"/>
          <w:lang w:val="es-ES_tradnl"/>
        </w:rPr>
        <w:t>A fs. 16</w:t>
      </w:r>
      <w:r>
        <w:rPr>
          <w:sz w:val="24"/>
          <w:szCs w:val="24"/>
          <w:lang w:val="es-ES_tradnl"/>
        </w:rPr>
        <w:t>/17</w:t>
      </w:r>
      <w:r w:rsidRPr="0069325C">
        <w:rPr>
          <w:sz w:val="24"/>
          <w:szCs w:val="24"/>
          <w:lang w:val="es-ES_tradnl"/>
        </w:rPr>
        <w:t xml:space="preserve"> se agrega</w:t>
      </w:r>
      <w:r>
        <w:rPr>
          <w:sz w:val="24"/>
          <w:szCs w:val="24"/>
          <w:lang w:val="es-ES_tradnl"/>
        </w:rPr>
        <w:t>n</w:t>
      </w:r>
      <w:r w:rsidRPr="0069325C">
        <w:rPr>
          <w:sz w:val="24"/>
          <w:szCs w:val="24"/>
          <w:lang w:val="es-ES_tradnl"/>
        </w:rPr>
        <w:t xml:space="preserve"> el cuadro presupuestario detallando la cantidad de bienes a adquirir, el precio unitario y el monto total de la contratación</w:t>
      </w:r>
      <w:r>
        <w:rPr>
          <w:sz w:val="24"/>
          <w:szCs w:val="24"/>
          <w:lang w:val="es-ES_tradnl"/>
        </w:rPr>
        <w:t xml:space="preserve"> y nota </w:t>
      </w:r>
      <w:r w:rsidR="0008340A">
        <w:rPr>
          <w:sz w:val="24"/>
          <w:szCs w:val="24"/>
          <w:lang w:val="es-ES_tradnl"/>
        </w:rPr>
        <w:t>proponiendo</w:t>
      </w:r>
      <w:r>
        <w:rPr>
          <w:sz w:val="24"/>
          <w:szCs w:val="24"/>
          <w:lang w:val="es-ES_tradnl"/>
        </w:rPr>
        <w:t xml:space="preserve"> el tipo de procedimiento a seguir</w:t>
      </w:r>
      <w:r w:rsidRPr="0069325C">
        <w:rPr>
          <w:sz w:val="24"/>
          <w:szCs w:val="24"/>
          <w:lang w:val="es-ES_tradnl"/>
        </w:rPr>
        <w:t>.</w:t>
      </w:r>
    </w:p>
    <w:p w:rsidR="0054382C" w:rsidRPr="0054382C" w:rsidRDefault="0054382C" w:rsidP="0054382C">
      <w:pPr>
        <w:jc w:val="both"/>
        <w:rPr>
          <w:sz w:val="24"/>
          <w:szCs w:val="24"/>
          <w:highlight w:val="yellow"/>
          <w:lang w:val="es-ES_tradnl"/>
        </w:rPr>
      </w:pPr>
    </w:p>
    <w:p w:rsidR="0054382C" w:rsidRDefault="0054382C" w:rsidP="0054382C">
      <w:pPr>
        <w:jc w:val="both"/>
        <w:rPr>
          <w:sz w:val="24"/>
          <w:szCs w:val="24"/>
          <w:lang w:val="es-ES_tradnl"/>
        </w:rPr>
      </w:pPr>
      <w:r w:rsidRPr="0069325C">
        <w:rPr>
          <w:sz w:val="24"/>
          <w:szCs w:val="24"/>
          <w:lang w:val="es-ES_tradnl"/>
        </w:rPr>
        <w:t xml:space="preserve">A fs. </w:t>
      </w:r>
      <w:r w:rsidR="0069325C">
        <w:rPr>
          <w:sz w:val="24"/>
          <w:szCs w:val="24"/>
          <w:lang w:val="es-ES_tradnl"/>
        </w:rPr>
        <w:t>18/22</w:t>
      </w:r>
      <w:r w:rsidRPr="0069325C">
        <w:rPr>
          <w:sz w:val="24"/>
          <w:szCs w:val="24"/>
          <w:lang w:val="es-ES_tradnl"/>
        </w:rPr>
        <w:t xml:space="preserve">  se incorpora copia del Pliego de Bases y Condiciones Generales y a fs. </w:t>
      </w:r>
      <w:r w:rsidR="0069325C">
        <w:rPr>
          <w:sz w:val="24"/>
          <w:szCs w:val="24"/>
          <w:lang w:val="es-ES_tradnl"/>
        </w:rPr>
        <w:t>23/2</w:t>
      </w:r>
      <w:r w:rsidR="00D338F2">
        <w:rPr>
          <w:sz w:val="24"/>
          <w:szCs w:val="24"/>
          <w:lang w:val="es-ES_tradnl"/>
        </w:rPr>
        <w:t>7</w:t>
      </w:r>
      <w:r w:rsidRPr="0069325C">
        <w:rPr>
          <w:sz w:val="24"/>
          <w:szCs w:val="24"/>
          <w:lang w:val="es-ES_tradnl"/>
        </w:rPr>
        <w:t xml:space="preserve"> </w:t>
      </w:r>
      <w:r w:rsidR="0069325C">
        <w:rPr>
          <w:sz w:val="24"/>
          <w:szCs w:val="24"/>
          <w:lang w:val="es-ES_tradnl"/>
        </w:rPr>
        <w:t>el</w:t>
      </w:r>
      <w:r w:rsidRPr="0069325C">
        <w:rPr>
          <w:sz w:val="24"/>
          <w:szCs w:val="24"/>
          <w:lang w:val="es-ES_tradnl"/>
        </w:rPr>
        <w:t xml:space="preserve"> proyectos de Plie</w:t>
      </w:r>
      <w:r w:rsidR="0069325C">
        <w:rPr>
          <w:sz w:val="24"/>
          <w:szCs w:val="24"/>
          <w:lang w:val="es-ES_tradnl"/>
        </w:rPr>
        <w:t>gos de Condiciones Particulares</w:t>
      </w:r>
      <w:r w:rsidR="00D338F2">
        <w:rPr>
          <w:sz w:val="24"/>
          <w:szCs w:val="24"/>
          <w:lang w:val="es-ES_tradnl"/>
        </w:rPr>
        <w:t xml:space="preserve"> y el modelo de publicación</w:t>
      </w:r>
      <w:r w:rsidR="0069325C">
        <w:rPr>
          <w:sz w:val="24"/>
          <w:szCs w:val="24"/>
          <w:lang w:val="es-ES_tradnl"/>
        </w:rPr>
        <w:t>.</w:t>
      </w:r>
    </w:p>
    <w:p w:rsidR="0069325C" w:rsidRPr="0054382C" w:rsidRDefault="0069325C" w:rsidP="0054382C">
      <w:pPr>
        <w:jc w:val="both"/>
        <w:rPr>
          <w:sz w:val="24"/>
          <w:szCs w:val="24"/>
          <w:highlight w:val="yellow"/>
          <w:lang w:val="es-ES_tradnl"/>
        </w:rPr>
      </w:pPr>
    </w:p>
    <w:p w:rsidR="0054382C" w:rsidRPr="0069325C" w:rsidRDefault="0054382C" w:rsidP="0054382C">
      <w:pPr>
        <w:jc w:val="both"/>
        <w:rPr>
          <w:sz w:val="24"/>
          <w:szCs w:val="24"/>
          <w:lang w:val="es-ES_tradnl"/>
        </w:rPr>
      </w:pPr>
      <w:r w:rsidRPr="0069325C">
        <w:rPr>
          <w:sz w:val="24"/>
          <w:szCs w:val="24"/>
          <w:lang w:val="es-ES_tradnl"/>
        </w:rPr>
        <w:t xml:space="preserve">De fs. </w:t>
      </w:r>
      <w:r w:rsidR="0069325C" w:rsidRPr="0069325C">
        <w:rPr>
          <w:sz w:val="24"/>
          <w:szCs w:val="24"/>
          <w:lang w:val="es-ES_tradnl"/>
        </w:rPr>
        <w:t>28/35</w:t>
      </w:r>
      <w:r w:rsidRPr="0069325C">
        <w:rPr>
          <w:sz w:val="24"/>
          <w:szCs w:val="24"/>
          <w:lang w:val="es-ES_tradnl"/>
        </w:rPr>
        <w:t xml:space="preserve"> surge el listado de empresas e instituciones a las que se cursarán invitaciones.</w:t>
      </w:r>
    </w:p>
    <w:p w:rsidR="0054382C" w:rsidRPr="0054382C" w:rsidRDefault="0054382C" w:rsidP="0054382C">
      <w:pPr>
        <w:jc w:val="both"/>
        <w:rPr>
          <w:sz w:val="24"/>
          <w:szCs w:val="24"/>
          <w:highlight w:val="yellow"/>
          <w:lang w:val="es-ES_tradnl"/>
        </w:rPr>
      </w:pPr>
    </w:p>
    <w:p w:rsidR="0054382C" w:rsidRPr="0069325C" w:rsidRDefault="0054382C" w:rsidP="0054382C">
      <w:pPr>
        <w:jc w:val="both"/>
        <w:rPr>
          <w:sz w:val="24"/>
          <w:szCs w:val="24"/>
          <w:lang w:val="es-ES_tradnl"/>
        </w:rPr>
      </w:pPr>
      <w:r w:rsidRPr="0069325C">
        <w:rPr>
          <w:sz w:val="24"/>
          <w:szCs w:val="24"/>
          <w:lang w:val="es-ES_tradnl"/>
        </w:rPr>
        <w:t xml:space="preserve">A fs. </w:t>
      </w:r>
      <w:r w:rsidR="0069325C" w:rsidRPr="0069325C">
        <w:rPr>
          <w:sz w:val="24"/>
          <w:szCs w:val="24"/>
          <w:lang w:val="es-ES_tradnl"/>
        </w:rPr>
        <w:t>36/37</w:t>
      </w:r>
      <w:r w:rsidRPr="0069325C">
        <w:rPr>
          <w:sz w:val="24"/>
          <w:szCs w:val="24"/>
          <w:lang w:val="es-ES_tradnl"/>
        </w:rPr>
        <w:t xml:space="preserve"> se aprecia la constancia</w:t>
      </w:r>
      <w:r w:rsidR="0069325C" w:rsidRPr="0069325C">
        <w:rPr>
          <w:sz w:val="24"/>
          <w:szCs w:val="24"/>
          <w:lang w:val="es-ES_tradnl"/>
        </w:rPr>
        <w:t xml:space="preserve"> de registración presupuestaria.</w:t>
      </w:r>
    </w:p>
    <w:p w:rsidR="0069325C" w:rsidRPr="0054382C" w:rsidRDefault="0069325C" w:rsidP="0054382C">
      <w:pPr>
        <w:jc w:val="both"/>
        <w:rPr>
          <w:sz w:val="24"/>
          <w:szCs w:val="24"/>
          <w:highlight w:val="yellow"/>
        </w:rPr>
      </w:pPr>
    </w:p>
    <w:p w:rsidR="0054382C" w:rsidRPr="0069325C" w:rsidRDefault="0054382C" w:rsidP="0054382C">
      <w:pPr>
        <w:jc w:val="both"/>
        <w:rPr>
          <w:sz w:val="24"/>
          <w:szCs w:val="24"/>
          <w:lang w:val="es-ES_tradnl"/>
        </w:rPr>
      </w:pPr>
      <w:r w:rsidRPr="0069325C">
        <w:rPr>
          <w:sz w:val="24"/>
          <w:szCs w:val="24"/>
          <w:lang w:val="es-ES_tradnl"/>
        </w:rPr>
        <w:t xml:space="preserve">De fs. </w:t>
      </w:r>
      <w:r w:rsidR="0069325C" w:rsidRPr="0069325C">
        <w:rPr>
          <w:sz w:val="24"/>
          <w:szCs w:val="24"/>
          <w:lang w:val="es-ES_tradnl"/>
        </w:rPr>
        <w:t>42</w:t>
      </w:r>
      <w:r w:rsidRPr="0069325C">
        <w:rPr>
          <w:sz w:val="24"/>
          <w:szCs w:val="24"/>
          <w:lang w:val="es-ES_tradnl"/>
        </w:rPr>
        <w:t xml:space="preserve"> surge el Dictamen Nº 5</w:t>
      </w:r>
      <w:r w:rsidR="0069325C" w:rsidRPr="0069325C">
        <w:rPr>
          <w:sz w:val="24"/>
          <w:szCs w:val="24"/>
          <w:lang w:val="es-ES_tradnl"/>
        </w:rPr>
        <w:t>383</w:t>
      </w:r>
      <w:r w:rsidRPr="0069325C">
        <w:rPr>
          <w:sz w:val="24"/>
          <w:szCs w:val="24"/>
          <w:lang w:val="es-ES_tradnl"/>
        </w:rPr>
        <w:t xml:space="preserve">/2013 de la Dirección de Asuntos Jurídicos, </w:t>
      </w:r>
      <w:r w:rsidR="0069325C" w:rsidRPr="0069325C">
        <w:rPr>
          <w:sz w:val="24"/>
          <w:szCs w:val="24"/>
          <w:lang w:val="es-ES_tradnl"/>
        </w:rPr>
        <w:t>en el cual</w:t>
      </w:r>
      <w:r w:rsidRPr="0069325C">
        <w:rPr>
          <w:sz w:val="24"/>
          <w:szCs w:val="24"/>
          <w:lang w:val="es-ES_tradnl"/>
        </w:rPr>
        <w:t xml:space="preserve"> manifiesta no tener objeciones que efectuar a la tramitación del expediente.</w:t>
      </w:r>
    </w:p>
    <w:p w:rsidR="0054382C" w:rsidRPr="0054382C" w:rsidRDefault="0054382C" w:rsidP="0054382C">
      <w:pPr>
        <w:jc w:val="both"/>
        <w:rPr>
          <w:sz w:val="24"/>
          <w:szCs w:val="24"/>
          <w:highlight w:val="yellow"/>
          <w:lang w:val="es-ES_tradnl"/>
        </w:rPr>
      </w:pPr>
    </w:p>
    <w:p w:rsidR="0054382C" w:rsidRPr="00F40CB2" w:rsidRDefault="0054382C" w:rsidP="0054382C">
      <w:pPr>
        <w:jc w:val="both"/>
        <w:rPr>
          <w:sz w:val="24"/>
          <w:szCs w:val="24"/>
          <w:lang w:val="es-ES_tradnl"/>
        </w:rPr>
      </w:pPr>
      <w:r w:rsidRPr="00F40CB2">
        <w:rPr>
          <w:sz w:val="24"/>
          <w:szCs w:val="24"/>
          <w:lang w:val="es-ES_tradnl"/>
        </w:rPr>
        <w:t xml:space="preserve">A fs. </w:t>
      </w:r>
      <w:r w:rsidR="00FD0941">
        <w:rPr>
          <w:sz w:val="24"/>
          <w:szCs w:val="24"/>
          <w:lang w:val="es-ES_tradnl"/>
        </w:rPr>
        <w:t>48/59</w:t>
      </w:r>
      <w:r w:rsidRPr="00F40CB2">
        <w:rPr>
          <w:sz w:val="24"/>
          <w:szCs w:val="24"/>
          <w:lang w:val="es-ES_tradnl"/>
        </w:rPr>
        <w:t xml:space="preserve"> se incluye la Resolución CAFITIT Nº </w:t>
      </w:r>
      <w:r w:rsidR="00FD0941">
        <w:rPr>
          <w:sz w:val="24"/>
          <w:szCs w:val="24"/>
          <w:lang w:val="es-ES_tradnl"/>
        </w:rPr>
        <w:t>92</w:t>
      </w:r>
      <w:r w:rsidRPr="00F40CB2">
        <w:rPr>
          <w:sz w:val="24"/>
          <w:szCs w:val="24"/>
          <w:lang w:val="es-ES_tradnl"/>
        </w:rPr>
        <w:t xml:space="preserve">/2013 autorizando el llamado a la presente Licitación Pública Nº </w:t>
      </w:r>
      <w:r w:rsidR="00FD0941">
        <w:rPr>
          <w:sz w:val="24"/>
          <w:szCs w:val="24"/>
          <w:lang w:val="es-ES_tradnl"/>
        </w:rPr>
        <w:t>27</w:t>
      </w:r>
      <w:r w:rsidRPr="00F40CB2">
        <w:rPr>
          <w:sz w:val="24"/>
          <w:szCs w:val="24"/>
          <w:lang w:val="es-ES_tradnl"/>
        </w:rPr>
        <w:t xml:space="preserve">/2013; </w:t>
      </w:r>
      <w:r w:rsidR="00214B52" w:rsidRPr="00F40CB2">
        <w:rPr>
          <w:sz w:val="24"/>
          <w:szCs w:val="24"/>
          <w:lang w:val="es-ES_tradnl"/>
        </w:rPr>
        <w:t>estableciendo</w:t>
      </w:r>
      <w:r w:rsidRPr="00F40CB2">
        <w:rPr>
          <w:sz w:val="24"/>
          <w:szCs w:val="24"/>
          <w:lang w:val="es-ES_tradnl"/>
        </w:rPr>
        <w:t xml:space="preserve"> el presupuesto oficial, </w:t>
      </w:r>
      <w:r w:rsidR="00FD0941">
        <w:rPr>
          <w:sz w:val="24"/>
          <w:szCs w:val="24"/>
          <w:lang w:val="es-ES_tradnl"/>
        </w:rPr>
        <w:t>aprobando e</w:t>
      </w:r>
      <w:r w:rsidRPr="00F40CB2">
        <w:rPr>
          <w:sz w:val="24"/>
          <w:szCs w:val="24"/>
          <w:lang w:val="es-ES_tradnl"/>
        </w:rPr>
        <w:t xml:space="preserve">l Pliego de Condiciones Particulares, y el </w:t>
      </w:r>
      <w:r w:rsidRPr="00F40CB2">
        <w:rPr>
          <w:sz w:val="24"/>
          <w:szCs w:val="24"/>
          <w:lang w:val="es-ES_tradnl"/>
        </w:rPr>
        <w:lastRenderedPageBreak/>
        <w:t>modelo de publicación; establec</w:t>
      </w:r>
      <w:r w:rsidR="00F40CB2" w:rsidRPr="00F40CB2">
        <w:rPr>
          <w:sz w:val="24"/>
          <w:szCs w:val="24"/>
          <w:lang w:val="es-ES_tradnl"/>
        </w:rPr>
        <w:t>e</w:t>
      </w:r>
      <w:r w:rsidRPr="00F40CB2">
        <w:rPr>
          <w:sz w:val="24"/>
          <w:szCs w:val="24"/>
          <w:lang w:val="es-ES_tradnl"/>
        </w:rPr>
        <w:t xml:space="preserve"> el </w:t>
      </w:r>
      <w:r w:rsidR="00F40CB2" w:rsidRPr="00F40CB2">
        <w:rPr>
          <w:sz w:val="24"/>
          <w:szCs w:val="24"/>
          <w:lang w:val="es-ES_tradnl"/>
        </w:rPr>
        <w:t>valor</w:t>
      </w:r>
      <w:r w:rsidRPr="00F40CB2">
        <w:rPr>
          <w:sz w:val="24"/>
          <w:szCs w:val="24"/>
          <w:lang w:val="es-ES_tradnl"/>
        </w:rPr>
        <w:t xml:space="preserve"> para la adquisición de los pliegos; y fija </w:t>
      </w:r>
      <w:r w:rsidR="00F40CB2" w:rsidRPr="00F40CB2">
        <w:rPr>
          <w:sz w:val="24"/>
          <w:szCs w:val="24"/>
          <w:lang w:val="es-ES_tradnl"/>
        </w:rPr>
        <w:t>la apertura pública de ofertas para el día 9 de diciembre de 2013 a las 12.00hs.</w:t>
      </w:r>
    </w:p>
    <w:p w:rsidR="0054382C" w:rsidRPr="0054382C" w:rsidRDefault="0054382C" w:rsidP="0054382C">
      <w:pPr>
        <w:jc w:val="both"/>
        <w:rPr>
          <w:sz w:val="24"/>
          <w:szCs w:val="24"/>
          <w:highlight w:val="yellow"/>
          <w:lang w:val="es-ES_tradnl"/>
        </w:rPr>
      </w:pPr>
    </w:p>
    <w:p w:rsidR="0054382C" w:rsidRPr="00F40CB2" w:rsidRDefault="0054382C" w:rsidP="0054382C">
      <w:pPr>
        <w:jc w:val="both"/>
        <w:rPr>
          <w:sz w:val="24"/>
          <w:szCs w:val="24"/>
          <w:lang w:val="es-ES_tradnl"/>
        </w:rPr>
      </w:pPr>
      <w:r w:rsidRPr="00F40CB2">
        <w:rPr>
          <w:sz w:val="24"/>
          <w:szCs w:val="24"/>
          <w:lang w:val="es-ES_tradnl"/>
        </w:rPr>
        <w:t xml:space="preserve">De fs. </w:t>
      </w:r>
      <w:r w:rsidR="00FD0941">
        <w:rPr>
          <w:sz w:val="24"/>
          <w:szCs w:val="24"/>
          <w:lang w:val="es-ES_tradnl"/>
        </w:rPr>
        <w:t>62</w:t>
      </w:r>
      <w:r w:rsidRPr="00F40CB2">
        <w:rPr>
          <w:sz w:val="24"/>
          <w:szCs w:val="24"/>
          <w:lang w:val="es-ES_tradnl"/>
        </w:rPr>
        <w:t xml:space="preserve"> surge la designación del funcionario que acompañará al Jefe de Departamento de Coordinación y Preadjudicaciones en el acto de apertura, de aquellos que conformarán la Co</w:t>
      </w:r>
      <w:r w:rsidR="00F40CB2">
        <w:rPr>
          <w:sz w:val="24"/>
          <w:szCs w:val="24"/>
          <w:lang w:val="es-ES_tradnl"/>
        </w:rPr>
        <w:t>misión de Evaluación de Ofertas</w:t>
      </w:r>
      <w:r w:rsidRPr="00F40CB2">
        <w:rPr>
          <w:sz w:val="24"/>
          <w:szCs w:val="24"/>
          <w:lang w:val="es-ES_tradnl"/>
        </w:rPr>
        <w:t xml:space="preserve"> y del responsable técnico.</w:t>
      </w:r>
    </w:p>
    <w:p w:rsidR="0054382C" w:rsidRPr="0054382C" w:rsidRDefault="0054382C" w:rsidP="0054382C">
      <w:pPr>
        <w:jc w:val="both"/>
        <w:rPr>
          <w:sz w:val="24"/>
          <w:szCs w:val="24"/>
          <w:highlight w:val="yellow"/>
          <w:lang w:val="es-ES_tradnl"/>
        </w:rPr>
      </w:pPr>
      <w:r w:rsidRPr="0054382C">
        <w:rPr>
          <w:sz w:val="24"/>
          <w:szCs w:val="24"/>
          <w:highlight w:val="yellow"/>
          <w:lang w:val="es-ES_tradnl"/>
        </w:rPr>
        <w:t xml:space="preserve"> </w:t>
      </w:r>
    </w:p>
    <w:p w:rsidR="0054382C" w:rsidRPr="0054382C" w:rsidRDefault="0054382C" w:rsidP="0054382C">
      <w:pPr>
        <w:jc w:val="both"/>
        <w:rPr>
          <w:sz w:val="24"/>
          <w:szCs w:val="24"/>
          <w:highlight w:val="yellow"/>
          <w:lang w:val="es-ES_tradnl"/>
        </w:rPr>
      </w:pPr>
      <w:r w:rsidRPr="00FD0941">
        <w:rPr>
          <w:sz w:val="24"/>
          <w:szCs w:val="24"/>
          <w:lang w:val="es-ES_tradnl"/>
        </w:rPr>
        <w:t xml:space="preserve">A fs. </w:t>
      </w:r>
      <w:r w:rsidR="00FD0941">
        <w:rPr>
          <w:sz w:val="24"/>
          <w:szCs w:val="24"/>
          <w:lang w:val="es-ES_tradnl"/>
        </w:rPr>
        <w:t>66</w:t>
      </w:r>
      <w:r w:rsidRPr="00FD0941">
        <w:rPr>
          <w:sz w:val="24"/>
          <w:szCs w:val="24"/>
          <w:lang w:val="es-ES_tradnl"/>
        </w:rPr>
        <w:t xml:space="preserve">, </w:t>
      </w:r>
      <w:r w:rsidR="00FD0941">
        <w:rPr>
          <w:sz w:val="24"/>
          <w:szCs w:val="24"/>
          <w:lang w:val="es-ES_tradnl"/>
        </w:rPr>
        <w:t>92</w:t>
      </w:r>
      <w:r w:rsidRPr="00AB7665">
        <w:rPr>
          <w:sz w:val="24"/>
          <w:szCs w:val="24"/>
          <w:lang w:val="es-ES_tradnl"/>
        </w:rPr>
        <w:t xml:space="preserve">, </w:t>
      </w:r>
      <w:r w:rsidR="00AB7665" w:rsidRPr="00AB7665">
        <w:rPr>
          <w:sz w:val="24"/>
          <w:szCs w:val="24"/>
          <w:lang w:val="es-ES_tradnl"/>
        </w:rPr>
        <w:t>125/</w:t>
      </w:r>
      <w:r w:rsidR="00AB7665" w:rsidRPr="000A2770">
        <w:rPr>
          <w:sz w:val="24"/>
          <w:szCs w:val="24"/>
          <w:lang w:val="es-ES_tradnl"/>
        </w:rPr>
        <w:t>128</w:t>
      </w:r>
      <w:r w:rsidR="000A2770" w:rsidRPr="000A2770">
        <w:rPr>
          <w:sz w:val="24"/>
          <w:szCs w:val="24"/>
          <w:lang w:val="es-ES_tradnl"/>
        </w:rPr>
        <w:t xml:space="preserve"> y 156</w:t>
      </w:r>
      <w:r w:rsidRPr="000A2770">
        <w:rPr>
          <w:sz w:val="24"/>
          <w:szCs w:val="24"/>
          <w:lang w:val="es-ES_tradnl"/>
        </w:rPr>
        <w:t xml:space="preserve"> </w:t>
      </w:r>
      <w:r w:rsidRPr="00FD0941">
        <w:rPr>
          <w:sz w:val="24"/>
          <w:szCs w:val="24"/>
          <w:lang w:val="es-ES_tradnl"/>
        </w:rPr>
        <w:t xml:space="preserve">se aprecian las constancias de las publicaciones efectuadas respecto de la Resolución CAFITIT Nº </w:t>
      </w:r>
      <w:r w:rsidR="00FD0941" w:rsidRPr="00FD0941">
        <w:rPr>
          <w:sz w:val="24"/>
          <w:szCs w:val="24"/>
          <w:lang w:val="es-ES_tradnl"/>
        </w:rPr>
        <w:t>92</w:t>
      </w:r>
      <w:r w:rsidRPr="00FD0941">
        <w:rPr>
          <w:sz w:val="24"/>
          <w:szCs w:val="24"/>
          <w:lang w:val="es-ES_tradnl"/>
        </w:rPr>
        <w:t>/2013.</w:t>
      </w:r>
    </w:p>
    <w:p w:rsidR="0054382C" w:rsidRPr="0054382C" w:rsidRDefault="0054382C" w:rsidP="0054382C">
      <w:pPr>
        <w:jc w:val="both"/>
        <w:rPr>
          <w:sz w:val="24"/>
          <w:szCs w:val="24"/>
          <w:highlight w:val="yellow"/>
          <w:lang w:val="es-ES_tradnl"/>
        </w:rPr>
      </w:pPr>
    </w:p>
    <w:p w:rsidR="0054382C" w:rsidRPr="00FD0941" w:rsidRDefault="00FD0941" w:rsidP="0054382C">
      <w:pPr>
        <w:jc w:val="both"/>
        <w:rPr>
          <w:sz w:val="24"/>
          <w:szCs w:val="24"/>
          <w:lang w:val="es-ES_tradnl"/>
        </w:rPr>
      </w:pPr>
      <w:r w:rsidRPr="00FD0941">
        <w:rPr>
          <w:sz w:val="24"/>
          <w:szCs w:val="24"/>
          <w:lang w:val="es-ES_tradnl"/>
        </w:rPr>
        <w:t>A fs. 70/9</w:t>
      </w:r>
      <w:r>
        <w:rPr>
          <w:sz w:val="24"/>
          <w:szCs w:val="24"/>
          <w:lang w:val="es-ES_tradnl"/>
        </w:rPr>
        <w:t>1</w:t>
      </w:r>
      <w:r w:rsidRPr="00FD0941">
        <w:rPr>
          <w:sz w:val="24"/>
          <w:szCs w:val="24"/>
          <w:lang w:val="es-ES_tradnl"/>
        </w:rPr>
        <w:t xml:space="preserve"> se agregan las constancias </w:t>
      </w:r>
      <w:r w:rsidR="0054382C" w:rsidRPr="00FD0941">
        <w:rPr>
          <w:sz w:val="24"/>
          <w:szCs w:val="24"/>
          <w:lang w:val="es-ES_tradnl"/>
        </w:rPr>
        <w:t>de las invitaciones cursadas.</w:t>
      </w:r>
    </w:p>
    <w:p w:rsidR="0054382C" w:rsidRPr="0054382C" w:rsidRDefault="0054382C" w:rsidP="0054382C">
      <w:pPr>
        <w:jc w:val="both"/>
        <w:rPr>
          <w:sz w:val="24"/>
          <w:szCs w:val="24"/>
          <w:highlight w:val="yellow"/>
          <w:lang w:val="es-ES_tradnl"/>
        </w:rPr>
      </w:pPr>
    </w:p>
    <w:p w:rsidR="0054382C" w:rsidRPr="00AB7665" w:rsidRDefault="0054382C" w:rsidP="0054382C">
      <w:pPr>
        <w:jc w:val="both"/>
        <w:rPr>
          <w:sz w:val="24"/>
          <w:szCs w:val="24"/>
          <w:lang w:val="es-ES_tradnl"/>
        </w:rPr>
      </w:pPr>
      <w:r w:rsidRPr="00AB7665">
        <w:rPr>
          <w:sz w:val="24"/>
          <w:szCs w:val="24"/>
          <w:lang w:val="es-ES_tradnl"/>
        </w:rPr>
        <w:t xml:space="preserve">De fs. </w:t>
      </w:r>
      <w:r w:rsidR="00AB7665" w:rsidRPr="00AB7665">
        <w:rPr>
          <w:sz w:val="24"/>
          <w:szCs w:val="24"/>
          <w:lang w:val="es-ES_tradnl"/>
        </w:rPr>
        <w:t>130</w:t>
      </w:r>
      <w:r w:rsidRPr="00AB7665">
        <w:rPr>
          <w:sz w:val="24"/>
          <w:szCs w:val="24"/>
          <w:lang w:val="es-ES_tradnl"/>
        </w:rPr>
        <w:t xml:space="preserve"> surge el acta labrada en ocasión de la reunión informativa llevada a cabo por la Dirección de Compras y Contrataciones</w:t>
      </w:r>
      <w:r w:rsidR="00AB7665" w:rsidRPr="00AB7665">
        <w:rPr>
          <w:sz w:val="24"/>
          <w:szCs w:val="24"/>
          <w:lang w:val="es-ES_tradnl"/>
        </w:rPr>
        <w:t>.</w:t>
      </w:r>
    </w:p>
    <w:p w:rsidR="0054382C" w:rsidRDefault="0054382C" w:rsidP="0054382C">
      <w:pPr>
        <w:jc w:val="both"/>
        <w:rPr>
          <w:sz w:val="24"/>
          <w:szCs w:val="24"/>
          <w:highlight w:val="yellow"/>
          <w:lang w:val="es-ES_tradnl"/>
        </w:rPr>
      </w:pPr>
    </w:p>
    <w:p w:rsidR="00AB7665" w:rsidRDefault="00AB7665" w:rsidP="0054382C">
      <w:pPr>
        <w:jc w:val="both"/>
        <w:rPr>
          <w:sz w:val="24"/>
          <w:szCs w:val="24"/>
          <w:lang w:val="es-ES_tradnl"/>
        </w:rPr>
      </w:pPr>
      <w:r w:rsidRPr="00F355E6">
        <w:rPr>
          <w:sz w:val="24"/>
          <w:szCs w:val="24"/>
          <w:lang w:val="es-ES_tradnl"/>
        </w:rPr>
        <w:t xml:space="preserve">A fs. 143/145 se agrega la Res. CAFITIT N° 96/2013 </w:t>
      </w:r>
      <w:r w:rsidR="000A2770">
        <w:rPr>
          <w:sz w:val="24"/>
          <w:szCs w:val="24"/>
          <w:lang w:val="es-ES_tradnl"/>
        </w:rPr>
        <w:t>que</w:t>
      </w:r>
      <w:r w:rsidRPr="00F355E6">
        <w:rPr>
          <w:sz w:val="24"/>
          <w:szCs w:val="24"/>
          <w:lang w:val="es-ES_tradnl"/>
        </w:rPr>
        <w:t xml:space="preserve"> aprueba la Circula</w:t>
      </w:r>
      <w:r w:rsidR="00D338F2">
        <w:rPr>
          <w:sz w:val="24"/>
          <w:szCs w:val="24"/>
          <w:lang w:val="es-ES_tradnl"/>
        </w:rPr>
        <w:t>r</w:t>
      </w:r>
      <w:r w:rsidRPr="00F355E6">
        <w:rPr>
          <w:sz w:val="24"/>
          <w:szCs w:val="24"/>
          <w:lang w:val="es-ES_tradnl"/>
        </w:rPr>
        <w:t xml:space="preserve"> con Consulta N° 1</w:t>
      </w:r>
      <w:r w:rsidR="000A2770">
        <w:rPr>
          <w:sz w:val="24"/>
          <w:szCs w:val="24"/>
          <w:lang w:val="es-ES_tradnl"/>
        </w:rPr>
        <w:t>,</w:t>
      </w:r>
      <w:r w:rsidRPr="00F355E6">
        <w:rPr>
          <w:sz w:val="24"/>
          <w:szCs w:val="24"/>
          <w:lang w:val="es-ES_tradnl"/>
        </w:rPr>
        <w:t xml:space="preserve"> mediante la cual se ratifican las especificaciones </w:t>
      </w:r>
      <w:r w:rsidR="00F355E6" w:rsidRPr="00F355E6">
        <w:rPr>
          <w:sz w:val="24"/>
          <w:szCs w:val="24"/>
          <w:lang w:val="es-ES_tradnl"/>
        </w:rPr>
        <w:t>téc</w:t>
      </w:r>
      <w:r w:rsidR="00F355E6">
        <w:rPr>
          <w:sz w:val="24"/>
          <w:szCs w:val="24"/>
          <w:lang w:val="es-ES_tradnl"/>
        </w:rPr>
        <w:t>ni</w:t>
      </w:r>
      <w:r w:rsidR="00F355E6" w:rsidRPr="00F355E6">
        <w:rPr>
          <w:sz w:val="24"/>
          <w:szCs w:val="24"/>
          <w:lang w:val="es-ES_tradnl"/>
        </w:rPr>
        <w:t>cas</w:t>
      </w:r>
      <w:r w:rsidRPr="00F355E6">
        <w:rPr>
          <w:sz w:val="24"/>
          <w:szCs w:val="24"/>
          <w:lang w:val="es-ES_tradnl"/>
        </w:rPr>
        <w:t xml:space="preserve"> requeridas en el pliego aprobado</w:t>
      </w:r>
      <w:r w:rsidR="00F355E6" w:rsidRPr="00F355E6">
        <w:rPr>
          <w:sz w:val="24"/>
          <w:szCs w:val="24"/>
          <w:lang w:val="es-ES_tradnl"/>
        </w:rPr>
        <w:t>, no siendo admisible la presentación de ofertas cuyos equipos no posean pantallas de al menos 23”.</w:t>
      </w:r>
    </w:p>
    <w:p w:rsidR="000A2770" w:rsidRDefault="000A2770" w:rsidP="0054382C">
      <w:pPr>
        <w:jc w:val="both"/>
        <w:rPr>
          <w:sz w:val="24"/>
          <w:szCs w:val="24"/>
          <w:lang w:val="es-ES_tradnl"/>
        </w:rPr>
      </w:pPr>
    </w:p>
    <w:p w:rsidR="000A2770" w:rsidRDefault="000A2770" w:rsidP="0054382C">
      <w:pPr>
        <w:jc w:val="both"/>
        <w:rPr>
          <w:sz w:val="24"/>
          <w:szCs w:val="24"/>
          <w:lang w:val="es-ES_tradnl"/>
        </w:rPr>
      </w:pPr>
      <w:r>
        <w:rPr>
          <w:sz w:val="24"/>
          <w:szCs w:val="24"/>
          <w:lang w:val="es-ES_tradnl"/>
        </w:rPr>
        <w:t>A fs. 146 y 157 se agregan la publicación de la Res. CAFITIT N°96/2013 y a fs. 147/155 las notificaciones en los términos establecidos en la propia resolución.</w:t>
      </w:r>
    </w:p>
    <w:p w:rsidR="00F355E6" w:rsidRPr="00F355E6" w:rsidRDefault="00F355E6" w:rsidP="0054382C">
      <w:pPr>
        <w:jc w:val="both"/>
        <w:rPr>
          <w:sz w:val="24"/>
          <w:szCs w:val="24"/>
          <w:lang w:val="es-ES_tradnl"/>
        </w:rPr>
      </w:pPr>
    </w:p>
    <w:p w:rsidR="0054382C" w:rsidRPr="000A2770" w:rsidRDefault="0054382C" w:rsidP="0054382C">
      <w:pPr>
        <w:jc w:val="both"/>
        <w:rPr>
          <w:sz w:val="24"/>
          <w:szCs w:val="24"/>
          <w:lang w:val="es-ES_tradnl"/>
        </w:rPr>
      </w:pPr>
      <w:r w:rsidRPr="000A2770">
        <w:rPr>
          <w:sz w:val="24"/>
          <w:szCs w:val="24"/>
          <w:lang w:val="es-ES_tradnl"/>
        </w:rPr>
        <w:t xml:space="preserve">A fs. </w:t>
      </w:r>
      <w:r w:rsidR="000A2770" w:rsidRPr="000A2770">
        <w:rPr>
          <w:sz w:val="24"/>
          <w:szCs w:val="24"/>
          <w:lang w:val="es-ES_tradnl"/>
        </w:rPr>
        <w:t>158</w:t>
      </w:r>
      <w:r w:rsidRPr="000A2770">
        <w:rPr>
          <w:sz w:val="24"/>
          <w:szCs w:val="24"/>
          <w:lang w:val="es-ES_tradnl"/>
        </w:rPr>
        <w:t xml:space="preserve"> consta el informe sobre la adquisición de Pliegos para la presente Licitación.</w:t>
      </w:r>
    </w:p>
    <w:p w:rsidR="0054382C" w:rsidRPr="0054382C" w:rsidRDefault="0054382C" w:rsidP="0054382C">
      <w:pPr>
        <w:jc w:val="both"/>
        <w:rPr>
          <w:sz w:val="24"/>
          <w:szCs w:val="24"/>
          <w:highlight w:val="yellow"/>
          <w:lang w:val="es-ES_tradnl"/>
        </w:rPr>
      </w:pPr>
    </w:p>
    <w:p w:rsidR="0054382C" w:rsidRPr="004040D3" w:rsidRDefault="0054382C" w:rsidP="0054382C">
      <w:pPr>
        <w:jc w:val="both"/>
        <w:rPr>
          <w:sz w:val="24"/>
          <w:szCs w:val="24"/>
          <w:lang w:val="es-ES_tradnl"/>
        </w:rPr>
      </w:pPr>
      <w:r w:rsidRPr="004040D3">
        <w:rPr>
          <w:sz w:val="24"/>
          <w:szCs w:val="24"/>
          <w:lang w:val="es-ES_tradnl"/>
        </w:rPr>
        <w:t xml:space="preserve">A fs. </w:t>
      </w:r>
      <w:r w:rsidR="004040D3" w:rsidRPr="004040D3">
        <w:rPr>
          <w:sz w:val="24"/>
          <w:szCs w:val="24"/>
          <w:lang w:val="es-ES_tradnl"/>
        </w:rPr>
        <w:t>164/165</w:t>
      </w:r>
      <w:r w:rsidRPr="004040D3">
        <w:rPr>
          <w:sz w:val="24"/>
          <w:szCs w:val="24"/>
          <w:lang w:val="es-ES_tradnl"/>
        </w:rPr>
        <w:t xml:space="preserve"> se encuentra el acta de apertura de ofertas Nº </w:t>
      </w:r>
      <w:r w:rsidR="004040D3">
        <w:rPr>
          <w:sz w:val="24"/>
          <w:szCs w:val="24"/>
          <w:lang w:val="es-ES_tradnl"/>
        </w:rPr>
        <w:t>27</w:t>
      </w:r>
      <w:r w:rsidRPr="004040D3">
        <w:rPr>
          <w:sz w:val="24"/>
          <w:szCs w:val="24"/>
          <w:lang w:val="es-ES_tradnl"/>
        </w:rPr>
        <w:t xml:space="preserve">/2013, producida por la Comisión de Preadjudicaciones designada al efecto, que da cuenta de la presentación de </w:t>
      </w:r>
      <w:r w:rsidR="004040D3">
        <w:rPr>
          <w:sz w:val="24"/>
          <w:szCs w:val="24"/>
          <w:lang w:val="es-ES_tradnl"/>
        </w:rPr>
        <w:t>una (1)</w:t>
      </w:r>
      <w:r w:rsidRPr="004040D3">
        <w:rPr>
          <w:sz w:val="24"/>
          <w:szCs w:val="24"/>
          <w:lang w:val="es-ES_tradnl"/>
        </w:rPr>
        <w:t xml:space="preserve"> oferta.</w:t>
      </w:r>
    </w:p>
    <w:p w:rsidR="0054382C" w:rsidRPr="0054382C" w:rsidRDefault="0054382C" w:rsidP="0054382C">
      <w:pPr>
        <w:jc w:val="both"/>
        <w:rPr>
          <w:sz w:val="24"/>
          <w:szCs w:val="24"/>
          <w:highlight w:val="yellow"/>
          <w:lang w:val="es-ES_tradnl"/>
        </w:rPr>
      </w:pPr>
    </w:p>
    <w:p w:rsidR="0054382C" w:rsidRPr="00B55F60" w:rsidRDefault="0054382C" w:rsidP="0054382C">
      <w:pPr>
        <w:jc w:val="both"/>
        <w:rPr>
          <w:sz w:val="24"/>
          <w:szCs w:val="24"/>
          <w:lang w:val="es-ES_tradnl"/>
        </w:rPr>
      </w:pPr>
      <w:r w:rsidRPr="00B55F60">
        <w:rPr>
          <w:sz w:val="24"/>
          <w:szCs w:val="24"/>
          <w:lang w:val="es-ES_tradnl"/>
        </w:rPr>
        <w:t xml:space="preserve">A fs. </w:t>
      </w:r>
      <w:r w:rsidR="00B55F60" w:rsidRPr="00B55F60">
        <w:rPr>
          <w:sz w:val="24"/>
          <w:szCs w:val="24"/>
          <w:lang w:val="es-ES_tradnl"/>
        </w:rPr>
        <w:t>222/223</w:t>
      </w:r>
      <w:r w:rsidR="0008340A" w:rsidRPr="00B55F60">
        <w:rPr>
          <w:sz w:val="24"/>
          <w:szCs w:val="24"/>
          <w:lang w:val="es-ES_tradnl"/>
        </w:rPr>
        <w:t xml:space="preserve"> </w:t>
      </w:r>
      <w:r w:rsidRPr="00B55F60">
        <w:rPr>
          <w:sz w:val="24"/>
          <w:szCs w:val="24"/>
          <w:lang w:val="es-ES_tradnl"/>
        </w:rPr>
        <w:t>obra el resultado de la consulta del estado registral de l</w:t>
      </w:r>
      <w:r w:rsidR="0008340A" w:rsidRPr="00B55F60">
        <w:rPr>
          <w:sz w:val="24"/>
          <w:szCs w:val="24"/>
          <w:lang w:val="es-ES_tradnl"/>
        </w:rPr>
        <w:t>a</w:t>
      </w:r>
      <w:r w:rsidRPr="00B55F60">
        <w:rPr>
          <w:sz w:val="24"/>
          <w:szCs w:val="24"/>
          <w:lang w:val="es-ES_tradnl"/>
        </w:rPr>
        <w:t xml:space="preserve"> oferente ante el R.I.U.P.P., efectuada por esta Comisión, constando que l</w:t>
      </w:r>
      <w:r w:rsidR="0008340A" w:rsidRPr="00B55F60">
        <w:rPr>
          <w:sz w:val="24"/>
          <w:szCs w:val="24"/>
          <w:lang w:val="es-ES_tradnl"/>
        </w:rPr>
        <w:t>a</w:t>
      </w:r>
      <w:r w:rsidRPr="00B55F60">
        <w:rPr>
          <w:sz w:val="24"/>
          <w:szCs w:val="24"/>
          <w:lang w:val="es-ES_tradnl"/>
        </w:rPr>
        <w:t xml:space="preserve"> mism</w:t>
      </w:r>
      <w:r w:rsidR="0008340A" w:rsidRPr="00B55F60">
        <w:rPr>
          <w:sz w:val="24"/>
          <w:szCs w:val="24"/>
          <w:lang w:val="es-ES_tradnl"/>
        </w:rPr>
        <w:t>a</w:t>
      </w:r>
      <w:r w:rsidRPr="00B55F60">
        <w:rPr>
          <w:sz w:val="24"/>
          <w:szCs w:val="24"/>
          <w:lang w:val="es-ES_tradnl"/>
        </w:rPr>
        <w:t xml:space="preserve"> se encuentra debidamente inscript</w:t>
      </w:r>
      <w:r w:rsidR="0008340A" w:rsidRPr="00B55F60">
        <w:rPr>
          <w:sz w:val="24"/>
          <w:szCs w:val="24"/>
          <w:lang w:val="es-ES_tradnl"/>
        </w:rPr>
        <w:t>a</w:t>
      </w:r>
      <w:r w:rsidRPr="00B55F60">
        <w:rPr>
          <w:sz w:val="24"/>
          <w:szCs w:val="24"/>
          <w:lang w:val="es-ES_tradnl"/>
        </w:rPr>
        <w:t>.</w:t>
      </w:r>
    </w:p>
    <w:p w:rsidR="0054382C" w:rsidRPr="0054382C" w:rsidRDefault="0054382C" w:rsidP="0054382C">
      <w:pPr>
        <w:jc w:val="both"/>
        <w:rPr>
          <w:sz w:val="24"/>
          <w:szCs w:val="24"/>
          <w:highlight w:val="yellow"/>
          <w:lang w:val="es-ES_tradnl"/>
        </w:rPr>
      </w:pPr>
    </w:p>
    <w:p w:rsidR="0054382C" w:rsidRPr="003E098F" w:rsidRDefault="0054382C" w:rsidP="0054382C">
      <w:pPr>
        <w:jc w:val="both"/>
        <w:rPr>
          <w:sz w:val="24"/>
          <w:szCs w:val="24"/>
          <w:lang w:val="es-ES_tradnl"/>
        </w:rPr>
      </w:pPr>
      <w:r w:rsidRPr="0008340A">
        <w:rPr>
          <w:sz w:val="24"/>
          <w:szCs w:val="24"/>
          <w:lang w:val="es-ES_tradnl"/>
        </w:rPr>
        <w:t xml:space="preserve">A fs. </w:t>
      </w:r>
      <w:r w:rsidR="00387E67" w:rsidRPr="0008340A">
        <w:rPr>
          <w:sz w:val="24"/>
          <w:szCs w:val="24"/>
          <w:lang w:val="es-ES_tradnl"/>
        </w:rPr>
        <w:t>218</w:t>
      </w:r>
      <w:r w:rsidRPr="0008340A">
        <w:rPr>
          <w:sz w:val="24"/>
          <w:szCs w:val="24"/>
          <w:lang w:val="es-ES_tradnl"/>
        </w:rPr>
        <w:t xml:space="preserve"> esta Comisión solicita la asistencia técnica de la Dirección de Informática y Tecnología, cuya respuesta </w:t>
      </w:r>
      <w:r w:rsidR="00B55F60">
        <w:rPr>
          <w:sz w:val="24"/>
          <w:szCs w:val="24"/>
          <w:lang w:val="es-ES_tradnl"/>
        </w:rPr>
        <w:t>se agrega</w:t>
      </w:r>
      <w:r w:rsidRPr="0008340A">
        <w:rPr>
          <w:sz w:val="24"/>
          <w:szCs w:val="24"/>
          <w:lang w:val="es-ES_tradnl"/>
        </w:rPr>
        <w:t xml:space="preserve"> a fs. </w:t>
      </w:r>
      <w:r w:rsidR="00387E67" w:rsidRPr="0008340A">
        <w:rPr>
          <w:sz w:val="24"/>
          <w:szCs w:val="24"/>
          <w:lang w:val="es-ES_tradnl"/>
        </w:rPr>
        <w:t>220</w:t>
      </w:r>
      <w:r w:rsidRPr="0008340A">
        <w:rPr>
          <w:sz w:val="24"/>
          <w:szCs w:val="24"/>
          <w:lang w:val="es-ES_tradnl"/>
        </w:rPr>
        <w:t>.</w:t>
      </w:r>
    </w:p>
    <w:p w:rsidR="0054382C" w:rsidRPr="005566CE" w:rsidRDefault="0054382C" w:rsidP="0054382C">
      <w:pPr>
        <w:pStyle w:val="Textoindependiente"/>
        <w:rPr>
          <w:szCs w:val="24"/>
          <w:lang w:val="es-ES_tradnl"/>
        </w:rPr>
      </w:pPr>
    </w:p>
    <w:p w:rsidR="0054382C" w:rsidRPr="005566CE" w:rsidRDefault="0054382C" w:rsidP="0054382C">
      <w:pPr>
        <w:jc w:val="center"/>
        <w:outlineLvl w:val="0"/>
        <w:rPr>
          <w:sz w:val="24"/>
          <w:szCs w:val="24"/>
        </w:rPr>
      </w:pPr>
      <w:r w:rsidRPr="005566CE">
        <w:rPr>
          <w:b/>
          <w:bCs/>
          <w:sz w:val="28"/>
          <w:szCs w:val="28"/>
          <w:u w:val="single"/>
        </w:rPr>
        <w:lastRenderedPageBreak/>
        <w:t>OFERTAS</w:t>
      </w:r>
      <w:r w:rsidRPr="005566CE">
        <w:rPr>
          <w:b/>
          <w:bCs/>
          <w:sz w:val="24"/>
          <w:szCs w:val="24"/>
          <w:u w:val="single"/>
        </w:rPr>
        <w:t>:</w:t>
      </w:r>
    </w:p>
    <w:p w:rsidR="0054382C" w:rsidRPr="00BB6431" w:rsidRDefault="0054382C" w:rsidP="0054382C">
      <w:pPr>
        <w:jc w:val="both"/>
        <w:rPr>
          <w:sz w:val="22"/>
          <w:szCs w:val="22"/>
          <w:highlight w:val="green"/>
        </w:rPr>
      </w:pPr>
    </w:p>
    <w:p w:rsidR="0054382C" w:rsidRPr="005566CE" w:rsidRDefault="0054382C" w:rsidP="0054382C">
      <w:pPr>
        <w:jc w:val="both"/>
        <w:rPr>
          <w:sz w:val="22"/>
          <w:szCs w:val="22"/>
        </w:rPr>
      </w:pPr>
    </w:p>
    <w:p w:rsidR="0054382C" w:rsidRPr="00905357" w:rsidRDefault="00387E67" w:rsidP="0054382C">
      <w:pPr>
        <w:numPr>
          <w:ilvl w:val="0"/>
          <w:numId w:val="1"/>
        </w:numPr>
        <w:jc w:val="both"/>
        <w:rPr>
          <w:b/>
          <w:bCs/>
          <w:sz w:val="21"/>
          <w:szCs w:val="21"/>
          <w:u w:val="single"/>
          <w:lang w:val="es-AR"/>
        </w:rPr>
      </w:pPr>
      <w:r>
        <w:rPr>
          <w:b/>
          <w:bCs/>
          <w:sz w:val="21"/>
          <w:szCs w:val="21"/>
          <w:u w:val="single"/>
          <w:lang w:val="es-AR"/>
        </w:rPr>
        <w:t>PC</w:t>
      </w:r>
      <w:r w:rsidR="00D67D7E">
        <w:rPr>
          <w:b/>
          <w:bCs/>
          <w:sz w:val="21"/>
          <w:szCs w:val="21"/>
          <w:u w:val="single"/>
          <w:lang w:val="es-AR"/>
        </w:rPr>
        <w:t>-</w:t>
      </w:r>
      <w:r>
        <w:rPr>
          <w:b/>
          <w:bCs/>
          <w:sz w:val="21"/>
          <w:szCs w:val="21"/>
          <w:u w:val="single"/>
          <w:lang w:val="es-AR"/>
        </w:rPr>
        <w:t>ARTS ARGENTINA</w:t>
      </w:r>
      <w:r w:rsidR="0054382C" w:rsidRPr="00905357">
        <w:rPr>
          <w:b/>
          <w:bCs/>
          <w:sz w:val="21"/>
          <w:szCs w:val="21"/>
          <w:u w:val="single"/>
          <w:lang w:val="es-AR"/>
        </w:rPr>
        <w:t xml:space="preserve"> S.A.:</w:t>
      </w:r>
    </w:p>
    <w:p w:rsidR="0054382C" w:rsidRPr="00905357" w:rsidRDefault="0054382C" w:rsidP="0054382C">
      <w:pPr>
        <w:jc w:val="both"/>
        <w:rPr>
          <w:b/>
          <w:bCs/>
          <w:sz w:val="24"/>
          <w:szCs w:val="24"/>
          <w:u w:val="single"/>
          <w:lang w:val="es-AR"/>
        </w:rPr>
      </w:pPr>
    </w:p>
    <w:p w:rsidR="0054382C" w:rsidRPr="00905357" w:rsidRDefault="0054382C" w:rsidP="0054382C">
      <w:pPr>
        <w:pStyle w:val="Ttulo5"/>
        <w:rPr>
          <w:bCs w:val="0"/>
          <w:sz w:val="23"/>
          <w:szCs w:val="23"/>
        </w:rPr>
      </w:pPr>
      <w:r w:rsidRPr="00905357">
        <w:rPr>
          <w:bCs w:val="0"/>
          <w:szCs w:val="24"/>
        </w:rPr>
        <w:t>CUIT:  30-</w:t>
      </w:r>
      <w:r w:rsidR="00387E67">
        <w:rPr>
          <w:bCs w:val="0"/>
          <w:szCs w:val="24"/>
        </w:rPr>
        <w:t>70860230-9</w:t>
      </w:r>
    </w:p>
    <w:p w:rsidR="0054382C" w:rsidRPr="00905357" w:rsidRDefault="0054382C" w:rsidP="0054382C">
      <w:pPr>
        <w:jc w:val="both"/>
        <w:rPr>
          <w:sz w:val="24"/>
          <w:szCs w:val="24"/>
        </w:rPr>
      </w:pPr>
      <w:r w:rsidRPr="00905357">
        <w:rPr>
          <w:sz w:val="24"/>
          <w:szCs w:val="24"/>
        </w:rPr>
        <w:t xml:space="preserve">Domicilio: </w:t>
      </w:r>
      <w:r w:rsidR="00387E67">
        <w:rPr>
          <w:sz w:val="24"/>
          <w:szCs w:val="24"/>
        </w:rPr>
        <w:t>Av. Brasil 3033</w:t>
      </w:r>
      <w:r w:rsidRPr="00905357">
        <w:rPr>
          <w:sz w:val="24"/>
          <w:szCs w:val="24"/>
        </w:rPr>
        <w:t xml:space="preserve"> - C.A.B.A.</w:t>
      </w:r>
    </w:p>
    <w:p w:rsidR="0054382C" w:rsidRPr="00905357" w:rsidRDefault="0054382C" w:rsidP="0054382C">
      <w:pPr>
        <w:jc w:val="both"/>
        <w:rPr>
          <w:b/>
          <w:color w:val="000000"/>
          <w:sz w:val="24"/>
        </w:rPr>
      </w:pPr>
      <w:r w:rsidRPr="00905357">
        <w:rPr>
          <w:sz w:val="24"/>
          <w:szCs w:val="24"/>
        </w:rPr>
        <w:t xml:space="preserve">C.E.: </w:t>
      </w:r>
      <w:hyperlink r:id="rId8" w:history="1">
        <w:r w:rsidR="00387E67" w:rsidRPr="00065604">
          <w:rPr>
            <w:rStyle w:val="Hipervnculo"/>
            <w:sz w:val="24"/>
          </w:rPr>
          <w:t>fhartkopf@pcartsargentina.com</w:t>
        </w:r>
      </w:hyperlink>
      <w:r w:rsidR="00387E67">
        <w:rPr>
          <w:color w:val="000000"/>
          <w:sz w:val="24"/>
        </w:rPr>
        <w:t xml:space="preserve"> </w:t>
      </w:r>
      <w:hyperlink r:id="rId9" w:history="1">
        <w:r w:rsidR="00387E67" w:rsidRPr="00065604">
          <w:rPr>
            <w:rStyle w:val="Hipervnculo"/>
            <w:sz w:val="24"/>
          </w:rPr>
          <w:t>sserantes@pcartsargentina.com</w:t>
        </w:r>
      </w:hyperlink>
      <w:r w:rsidR="00387E67">
        <w:rPr>
          <w:color w:val="000000"/>
          <w:sz w:val="24"/>
        </w:rPr>
        <w:t xml:space="preserve"> </w:t>
      </w:r>
    </w:p>
    <w:p w:rsidR="0054382C" w:rsidRPr="00E25E7B" w:rsidRDefault="0054382C" w:rsidP="0054382C">
      <w:pPr>
        <w:jc w:val="both"/>
        <w:rPr>
          <w:b/>
          <w:sz w:val="24"/>
          <w:szCs w:val="24"/>
        </w:rPr>
      </w:pPr>
    </w:p>
    <w:p w:rsidR="0054382C" w:rsidRDefault="0054382C" w:rsidP="0054382C">
      <w:pPr>
        <w:pStyle w:val="Textoindependiente3"/>
        <w:rPr>
          <w:szCs w:val="24"/>
        </w:rPr>
      </w:pPr>
      <w:r w:rsidRPr="00E25E7B">
        <w:rPr>
          <w:szCs w:val="24"/>
        </w:rPr>
        <w:t xml:space="preserve">A fs. </w:t>
      </w:r>
      <w:r w:rsidR="00387E67">
        <w:rPr>
          <w:szCs w:val="24"/>
        </w:rPr>
        <w:t>216</w:t>
      </w:r>
      <w:r w:rsidRPr="00E25E7B">
        <w:rPr>
          <w:szCs w:val="24"/>
        </w:rPr>
        <w:t xml:space="preserve"> presenta su propuesta económica. La misma asciende a un total de </w:t>
      </w:r>
      <w:r w:rsidR="00387E67">
        <w:rPr>
          <w:szCs w:val="24"/>
        </w:rPr>
        <w:t>pesos dos millones setecientos sesenta y tres mil cuarenta ($2.763.040.-</w:t>
      </w:r>
      <w:r w:rsidRPr="00E25E7B">
        <w:rPr>
          <w:szCs w:val="24"/>
        </w:rPr>
        <w:t xml:space="preserve">). </w:t>
      </w:r>
      <w:r w:rsidR="00387E67">
        <w:rPr>
          <w:szCs w:val="24"/>
        </w:rPr>
        <w:t>Presenta una oferta alternativa por la suma de pesos dos millones setecientos dos mil ($2.702.000</w:t>
      </w:r>
      <w:r w:rsidRPr="00E25E7B">
        <w:rPr>
          <w:szCs w:val="24"/>
        </w:rPr>
        <w:t>.</w:t>
      </w:r>
      <w:r w:rsidR="00387E67">
        <w:rPr>
          <w:szCs w:val="24"/>
        </w:rPr>
        <w:t xml:space="preserve">-). </w:t>
      </w:r>
      <w:r w:rsidR="00DA2041">
        <w:rPr>
          <w:szCs w:val="24"/>
        </w:rPr>
        <w:t>La oferta original resulta un 8,9% superior a lo presupuestado para la presente contratación, en tanto que la oferta alternativa lo es en un 6,5%, encontrándose dentro del parámetro aconsejado para adjudicar.</w:t>
      </w:r>
    </w:p>
    <w:p w:rsidR="00387E67" w:rsidRDefault="00387E67" w:rsidP="0054382C">
      <w:pPr>
        <w:pStyle w:val="Textoindependiente3"/>
        <w:rPr>
          <w:szCs w:val="24"/>
        </w:rPr>
      </w:pPr>
    </w:p>
    <w:p w:rsidR="00387E67" w:rsidRPr="00E25E7B" w:rsidRDefault="00387E67" w:rsidP="0054382C">
      <w:pPr>
        <w:pStyle w:val="Textoindependiente3"/>
        <w:rPr>
          <w:szCs w:val="24"/>
        </w:rPr>
      </w:pPr>
      <w:r>
        <w:rPr>
          <w:szCs w:val="24"/>
        </w:rPr>
        <w:t>En dicha foja establece el plazo de entrega, el mantenimiento de la oferta y la forma de pago.</w:t>
      </w:r>
    </w:p>
    <w:p w:rsidR="0054382C" w:rsidRPr="00E25E7B" w:rsidRDefault="0054382C" w:rsidP="0054382C">
      <w:pPr>
        <w:jc w:val="both"/>
        <w:rPr>
          <w:b/>
          <w:bCs/>
          <w:iCs/>
          <w:sz w:val="24"/>
          <w:szCs w:val="24"/>
        </w:rPr>
      </w:pPr>
    </w:p>
    <w:p w:rsidR="0054382C" w:rsidRPr="00E25E7B" w:rsidRDefault="0054382C" w:rsidP="0054382C">
      <w:pPr>
        <w:jc w:val="both"/>
        <w:rPr>
          <w:b/>
          <w:sz w:val="24"/>
          <w:szCs w:val="24"/>
        </w:rPr>
      </w:pPr>
      <w:r w:rsidRPr="00E25E7B">
        <w:rPr>
          <w:b/>
          <w:sz w:val="24"/>
          <w:szCs w:val="24"/>
          <w:lang w:val="es-AR"/>
        </w:rPr>
        <w:t xml:space="preserve">Conforme lo dispuesto en el punto 14.1.a. del Pliego de Bases y Condiciones Generales, el oferente </w:t>
      </w:r>
      <w:r w:rsidRPr="00E25E7B">
        <w:rPr>
          <w:b/>
          <w:sz w:val="24"/>
          <w:szCs w:val="24"/>
        </w:rPr>
        <w:t xml:space="preserve">constituyó garantía de su oferta con </w:t>
      </w:r>
      <w:r w:rsidR="00387E67">
        <w:rPr>
          <w:b/>
          <w:sz w:val="24"/>
          <w:szCs w:val="24"/>
        </w:rPr>
        <w:t xml:space="preserve">póliza de seguro  de  caución </w:t>
      </w:r>
      <w:r w:rsidRPr="00E25E7B">
        <w:rPr>
          <w:b/>
          <w:sz w:val="24"/>
          <w:szCs w:val="24"/>
        </w:rPr>
        <w:t xml:space="preserve">hasta la suma </w:t>
      </w:r>
      <w:r w:rsidR="00387E67">
        <w:rPr>
          <w:b/>
          <w:sz w:val="24"/>
          <w:szCs w:val="24"/>
        </w:rPr>
        <w:t>pesos doscientos cincuenta mil</w:t>
      </w:r>
      <w:r w:rsidR="00D338F2">
        <w:rPr>
          <w:b/>
          <w:sz w:val="24"/>
          <w:szCs w:val="24"/>
        </w:rPr>
        <w:t xml:space="preserve"> ($250.000.-)</w:t>
      </w:r>
      <w:r w:rsidRPr="00E25E7B">
        <w:rPr>
          <w:b/>
          <w:sz w:val="24"/>
          <w:szCs w:val="24"/>
        </w:rPr>
        <w:t xml:space="preserve">, reservándose el original en la caja fuerte de la Dirección de Compras y Contrataciones, y obrando su copia a fs. </w:t>
      </w:r>
      <w:r w:rsidR="00917CB5">
        <w:rPr>
          <w:b/>
          <w:sz w:val="24"/>
          <w:szCs w:val="24"/>
        </w:rPr>
        <w:t>213/215</w:t>
      </w:r>
      <w:r w:rsidRPr="00E25E7B">
        <w:rPr>
          <w:b/>
          <w:sz w:val="24"/>
          <w:szCs w:val="24"/>
        </w:rPr>
        <w:t>.</w:t>
      </w:r>
    </w:p>
    <w:p w:rsidR="0054382C" w:rsidRPr="00954410" w:rsidRDefault="0054382C" w:rsidP="0054382C">
      <w:pPr>
        <w:jc w:val="both"/>
        <w:rPr>
          <w:sz w:val="24"/>
          <w:szCs w:val="24"/>
        </w:rPr>
      </w:pPr>
    </w:p>
    <w:p w:rsidR="0054382C" w:rsidRPr="009C1A62" w:rsidRDefault="0054382C" w:rsidP="0054382C">
      <w:pPr>
        <w:jc w:val="both"/>
        <w:rPr>
          <w:sz w:val="24"/>
          <w:szCs w:val="24"/>
        </w:rPr>
      </w:pPr>
      <w:r>
        <w:rPr>
          <w:sz w:val="24"/>
          <w:szCs w:val="24"/>
        </w:rPr>
        <w:t xml:space="preserve">De fs. </w:t>
      </w:r>
      <w:r w:rsidR="00917CB5">
        <w:rPr>
          <w:sz w:val="24"/>
          <w:szCs w:val="24"/>
        </w:rPr>
        <w:t>170</w:t>
      </w:r>
      <w:r w:rsidRPr="00954410">
        <w:rPr>
          <w:sz w:val="24"/>
          <w:szCs w:val="24"/>
        </w:rPr>
        <w:t xml:space="preserve"> surgen el domicilio en la Ciudad de Buenos Aires y la dirección de correo electrónico, que se consignan en el encabezamiento de este apartado, así como el teléfono de la firma</w:t>
      </w:r>
      <w:r w:rsidRPr="009C1A62">
        <w:rPr>
          <w:sz w:val="24"/>
          <w:szCs w:val="24"/>
        </w:rPr>
        <w:t xml:space="preserve">. </w:t>
      </w:r>
    </w:p>
    <w:p w:rsidR="0054382C" w:rsidRPr="00954410" w:rsidRDefault="0054382C" w:rsidP="0054382C">
      <w:pPr>
        <w:jc w:val="both"/>
        <w:rPr>
          <w:sz w:val="24"/>
          <w:szCs w:val="24"/>
        </w:rPr>
      </w:pPr>
    </w:p>
    <w:p w:rsidR="0054382C" w:rsidRPr="00954410" w:rsidRDefault="0054382C" w:rsidP="0054382C">
      <w:pPr>
        <w:jc w:val="both"/>
        <w:rPr>
          <w:sz w:val="24"/>
          <w:szCs w:val="24"/>
        </w:rPr>
      </w:pPr>
      <w:r w:rsidRPr="00954410">
        <w:rPr>
          <w:sz w:val="24"/>
          <w:szCs w:val="24"/>
        </w:rPr>
        <w:t xml:space="preserve">A fs. </w:t>
      </w:r>
      <w:r w:rsidR="00917CB5">
        <w:rPr>
          <w:sz w:val="24"/>
          <w:szCs w:val="24"/>
        </w:rPr>
        <w:t>171</w:t>
      </w:r>
      <w:r w:rsidRPr="00954410">
        <w:rPr>
          <w:sz w:val="24"/>
          <w:szCs w:val="24"/>
        </w:rPr>
        <w:t xml:space="preserve"> se acompaña constancia de compra de pliegos.</w:t>
      </w:r>
    </w:p>
    <w:p w:rsidR="0054382C" w:rsidRDefault="0054382C" w:rsidP="0054382C">
      <w:pPr>
        <w:jc w:val="both"/>
        <w:rPr>
          <w:sz w:val="24"/>
          <w:szCs w:val="24"/>
        </w:rPr>
      </w:pPr>
    </w:p>
    <w:p w:rsidR="00917CB5" w:rsidRPr="00954410" w:rsidRDefault="00917CB5" w:rsidP="00917CB5">
      <w:pPr>
        <w:jc w:val="both"/>
        <w:rPr>
          <w:sz w:val="24"/>
          <w:szCs w:val="24"/>
        </w:rPr>
      </w:pPr>
      <w:r w:rsidRPr="00954410">
        <w:rPr>
          <w:sz w:val="24"/>
          <w:szCs w:val="24"/>
        </w:rPr>
        <w:t xml:space="preserve">A fs. </w:t>
      </w:r>
      <w:r>
        <w:rPr>
          <w:sz w:val="24"/>
          <w:szCs w:val="24"/>
        </w:rPr>
        <w:t>191</w:t>
      </w:r>
      <w:r w:rsidR="00D338F2">
        <w:rPr>
          <w:sz w:val="24"/>
          <w:szCs w:val="24"/>
        </w:rPr>
        <w:t>vta.</w:t>
      </w:r>
      <w:r>
        <w:rPr>
          <w:sz w:val="24"/>
          <w:szCs w:val="24"/>
        </w:rPr>
        <w:t>/192</w:t>
      </w:r>
      <w:r w:rsidRPr="00954410">
        <w:rPr>
          <w:sz w:val="24"/>
          <w:szCs w:val="24"/>
        </w:rPr>
        <w:t xml:space="preserve"> obra la declaración jurada de aptitud para contratar, exigida por el artículo 10 del Pliego de Bases y Condiciones Generales.</w:t>
      </w:r>
    </w:p>
    <w:p w:rsidR="00917CB5" w:rsidRPr="00954410" w:rsidRDefault="00917CB5" w:rsidP="0054382C">
      <w:pPr>
        <w:jc w:val="both"/>
        <w:rPr>
          <w:sz w:val="24"/>
          <w:szCs w:val="24"/>
        </w:rPr>
      </w:pPr>
    </w:p>
    <w:p w:rsidR="0054382C" w:rsidRPr="00954410" w:rsidRDefault="0054382C" w:rsidP="0054382C">
      <w:pPr>
        <w:jc w:val="both"/>
        <w:rPr>
          <w:sz w:val="24"/>
          <w:szCs w:val="24"/>
        </w:rPr>
      </w:pPr>
      <w:r w:rsidRPr="00954410">
        <w:rPr>
          <w:sz w:val="24"/>
          <w:szCs w:val="24"/>
        </w:rPr>
        <w:t xml:space="preserve">A fs. </w:t>
      </w:r>
      <w:r w:rsidR="00917CB5">
        <w:rPr>
          <w:sz w:val="24"/>
          <w:szCs w:val="24"/>
        </w:rPr>
        <w:t>193</w:t>
      </w:r>
      <w:r w:rsidRPr="00954410">
        <w:rPr>
          <w:sz w:val="24"/>
          <w:szCs w:val="24"/>
        </w:rPr>
        <w:t xml:space="preserve"> obra el Certificado Fiscal para emitido por la A.F.I.P., vigente a la fecha de la apertura.</w:t>
      </w:r>
    </w:p>
    <w:p w:rsidR="0054382C" w:rsidRDefault="0054382C" w:rsidP="0054382C">
      <w:pPr>
        <w:jc w:val="both"/>
        <w:rPr>
          <w:sz w:val="24"/>
          <w:szCs w:val="24"/>
        </w:rPr>
      </w:pPr>
    </w:p>
    <w:p w:rsidR="00917CB5" w:rsidRDefault="00917CB5" w:rsidP="0054382C">
      <w:pPr>
        <w:jc w:val="both"/>
        <w:rPr>
          <w:sz w:val="24"/>
          <w:szCs w:val="24"/>
        </w:rPr>
      </w:pPr>
      <w:r>
        <w:rPr>
          <w:sz w:val="24"/>
          <w:szCs w:val="24"/>
        </w:rPr>
        <w:t>A</w:t>
      </w:r>
      <w:r w:rsidR="00D338F2">
        <w:rPr>
          <w:sz w:val="24"/>
          <w:szCs w:val="24"/>
        </w:rPr>
        <w:t xml:space="preserve"> fs. </w:t>
      </w:r>
      <w:r>
        <w:rPr>
          <w:sz w:val="24"/>
          <w:szCs w:val="24"/>
        </w:rPr>
        <w:t>195/200 se agrega copia del Poder General de Gestiones Administrativas que acredita la calidad del firmante.</w:t>
      </w:r>
    </w:p>
    <w:p w:rsidR="00917CB5" w:rsidRPr="00F54771" w:rsidRDefault="00917CB5" w:rsidP="0054382C">
      <w:pPr>
        <w:jc w:val="both"/>
        <w:rPr>
          <w:sz w:val="24"/>
          <w:szCs w:val="24"/>
        </w:rPr>
      </w:pPr>
    </w:p>
    <w:p w:rsidR="0054382C" w:rsidRPr="00954410" w:rsidRDefault="0054382C" w:rsidP="0054382C">
      <w:pPr>
        <w:jc w:val="both"/>
        <w:rPr>
          <w:sz w:val="24"/>
          <w:szCs w:val="24"/>
        </w:rPr>
      </w:pPr>
      <w:r w:rsidRPr="00954410">
        <w:rPr>
          <w:sz w:val="24"/>
          <w:szCs w:val="24"/>
        </w:rPr>
        <w:lastRenderedPageBreak/>
        <w:t xml:space="preserve">De fs. </w:t>
      </w:r>
      <w:r w:rsidR="00917CB5">
        <w:rPr>
          <w:sz w:val="24"/>
          <w:szCs w:val="24"/>
        </w:rPr>
        <w:t>201</w:t>
      </w:r>
      <w:r w:rsidRPr="00954410">
        <w:rPr>
          <w:sz w:val="24"/>
          <w:szCs w:val="24"/>
        </w:rPr>
        <w:t xml:space="preserve"> surge el Certificado</w:t>
      </w:r>
      <w:r w:rsidR="00B55F60">
        <w:rPr>
          <w:sz w:val="24"/>
          <w:szCs w:val="24"/>
        </w:rPr>
        <w:t xml:space="preserve"> </w:t>
      </w:r>
      <w:r w:rsidRPr="00954410">
        <w:rPr>
          <w:sz w:val="24"/>
          <w:szCs w:val="24"/>
        </w:rPr>
        <w:t>de Deudores Alimentarios Morosos emitido por el Registro correspondiente y vigente a la fecha de la apertura</w:t>
      </w:r>
      <w:r w:rsidR="00917CB5">
        <w:rPr>
          <w:sz w:val="24"/>
          <w:szCs w:val="24"/>
        </w:rPr>
        <w:t>.</w:t>
      </w:r>
    </w:p>
    <w:p w:rsidR="0054382C" w:rsidRPr="00BB6431" w:rsidRDefault="0054382C" w:rsidP="0054382C">
      <w:pPr>
        <w:jc w:val="both"/>
        <w:rPr>
          <w:sz w:val="24"/>
          <w:szCs w:val="24"/>
          <w:highlight w:val="green"/>
        </w:rPr>
      </w:pPr>
    </w:p>
    <w:p w:rsidR="0054382C" w:rsidRDefault="0054382C" w:rsidP="0054382C">
      <w:pPr>
        <w:jc w:val="both"/>
        <w:rPr>
          <w:sz w:val="24"/>
          <w:szCs w:val="24"/>
        </w:rPr>
      </w:pPr>
    </w:p>
    <w:p w:rsidR="0054382C" w:rsidRDefault="00917CB5" w:rsidP="0054382C">
      <w:pPr>
        <w:jc w:val="both"/>
        <w:rPr>
          <w:sz w:val="24"/>
          <w:szCs w:val="24"/>
        </w:rPr>
      </w:pPr>
      <w:r>
        <w:rPr>
          <w:sz w:val="24"/>
          <w:szCs w:val="24"/>
        </w:rPr>
        <w:t>A fs. 203 acompaña declaración jurada denunciando el origen de los bienes ofertados.</w:t>
      </w:r>
    </w:p>
    <w:p w:rsidR="00D67D7E" w:rsidRDefault="00D67D7E" w:rsidP="0054382C">
      <w:pPr>
        <w:jc w:val="both"/>
        <w:rPr>
          <w:sz w:val="24"/>
          <w:szCs w:val="24"/>
        </w:rPr>
      </w:pPr>
    </w:p>
    <w:p w:rsidR="00D67D7E" w:rsidRDefault="00D67D7E" w:rsidP="0054382C">
      <w:pPr>
        <w:jc w:val="both"/>
        <w:rPr>
          <w:sz w:val="24"/>
          <w:szCs w:val="24"/>
        </w:rPr>
      </w:pPr>
      <w:r>
        <w:rPr>
          <w:sz w:val="24"/>
          <w:szCs w:val="24"/>
        </w:rPr>
        <w:t>A fs. 209/212 acompaña folletería de donde se desprenden las especificaciones técnicas de los equipos ofertados.</w:t>
      </w:r>
    </w:p>
    <w:p w:rsidR="0054382C" w:rsidRPr="009C1A62" w:rsidRDefault="0054382C" w:rsidP="0054382C">
      <w:pPr>
        <w:jc w:val="both"/>
        <w:rPr>
          <w:sz w:val="24"/>
          <w:szCs w:val="24"/>
        </w:rPr>
      </w:pPr>
    </w:p>
    <w:p w:rsidR="0054382C" w:rsidRPr="00B55F60" w:rsidRDefault="0054382C" w:rsidP="0054382C">
      <w:pPr>
        <w:jc w:val="both"/>
        <w:rPr>
          <w:sz w:val="24"/>
          <w:szCs w:val="24"/>
        </w:rPr>
      </w:pPr>
      <w:r w:rsidRPr="00B55F60">
        <w:rPr>
          <w:sz w:val="24"/>
          <w:szCs w:val="24"/>
        </w:rPr>
        <w:t>A fs.</w:t>
      </w:r>
      <w:r w:rsidR="00B55F60" w:rsidRPr="00B55F60">
        <w:rPr>
          <w:sz w:val="24"/>
          <w:szCs w:val="24"/>
        </w:rPr>
        <w:t xml:space="preserve"> 222/223 </w:t>
      </w:r>
      <w:r w:rsidRPr="00B55F60">
        <w:rPr>
          <w:sz w:val="24"/>
          <w:szCs w:val="24"/>
        </w:rPr>
        <w:t>se incluye el resultado de la consulta de Estado Registral efectuada por esta Comisión al R.I.U.P.P., de la que surge que el oferente se encuentra inscripto en dicho registro, dicho Estado informa que la firma no ha recibido sanciones</w:t>
      </w:r>
      <w:r w:rsidR="00D67D7E" w:rsidRPr="00B55F60">
        <w:rPr>
          <w:sz w:val="24"/>
          <w:szCs w:val="24"/>
        </w:rPr>
        <w:t>.</w:t>
      </w:r>
    </w:p>
    <w:p w:rsidR="0054382C" w:rsidRPr="00D67D7E" w:rsidRDefault="0054382C" w:rsidP="0054382C">
      <w:pPr>
        <w:jc w:val="both"/>
        <w:rPr>
          <w:sz w:val="24"/>
          <w:szCs w:val="24"/>
          <w:highlight w:val="yellow"/>
        </w:rPr>
      </w:pPr>
    </w:p>
    <w:p w:rsidR="0054382C" w:rsidRDefault="0054382C" w:rsidP="0054382C">
      <w:pPr>
        <w:jc w:val="both"/>
        <w:rPr>
          <w:i/>
          <w:sz w:val="24"/>
          <w:szCs w:val="24"/>
        </w:rPr>
      </w:pPr>
      <w:r w:rsidRPr="00B55F60">
        <w:rPr>
          <w:sz w:val="24"/>
          <w:szCs w:val="24"/>
        </w:rPr>
        <w:t>A fs.</w:t>
      </w:r>
      <w:r w:rsidR="00B55F60" w:rsidRPr="00B55F60">
        <w:rPr>
          <w:sz w:val="24"/>
          <w:szCs w:val="24"/>
        </w:rPr>
        <w:t xml:space="preserve"> 220 </w:t>
      </w:r>
      <w:r w:rsidRPr="00B55F60">
        <w:rPr>
          <w:sz w:val="24"/>
          <w:szCs w:val="24"/>
        </w:rPr>
        <w:t xml:space="preserve">se agrega el Informe Técnico efectuado por la Dirección de Informática y Tecnología, del que surge que la firma </w:t>
      </w:r>
      <w:r w:rsidRPr="00B55F60">
        <w:rPr>
          <w:i/>
          <w:sz w:val="24"/>
          <w:szCs w:val="24"/>
        </w:rPr>
        <w:t xml:space="preserve">“(...) CUMPLE con lo </w:t>
      </w:r>
      <w:r w:rsidR="00D67D7E" w:rsidRPr="00B55F60">
        <w:rPr>
          <w:i/>
          <w:sz w:val="24"/>
          <w:szCs w:val="24"/>
        </w:rPr>
        <w:t>solicitado</w:t>
      </w:r>
      <w:r w:rsidRPr="00B55F60">
        <w:rPr>
          <w:i/>
          <w:sz w:val="24"/>
          <w:szCs w:val="24"/>
        </w:rPr>
        <w:t xml:space="preserve"> en el Pliego de Especifica</w:t>
      </w:r>
      <w:r w:rsidR="00D67D7E" w:rsidRPr="00B55F60">
        <w:rPr>
          <w:i/>
          <w:sz w:val="24"/>
          <w:szCs w:val="24"/>
        </w:rPr>
        <w:t>ciones Técnicas correspondiente”.</w:t>
      </w:r>
    </w:p>
    <w:p w:rsidR="00D67D7E" w:rsidRDefault="00D67D7E" w:rsidP="0054382C">
      <w:pPr>
        <w:jc w:val="both"/>
        <w:rPr>
          <w:i/>
          <w:sz w:val="24"/>
          <w:szCs w:val="24"/>
        </w:rPr>
      </w:pPr>
    </w:p>
    <w:p w:rsidR="00D67D7E" w:rsidRPr="00D67D7E" w:rsidRDefault="00D67D7E" w:rsidP="0054382C">
      <w:pPr>
        <w:jc w:val="both"/>
        <w:rPr>
          <w:sz w:val="24"/>
          <w:szCs w:val="24"/>
        </w:rPr>
      </w:pPr>
      <w:r w:rsidRPr="00D67D7E">
        <w:rPr>
          <w:sz w:val="24"/>
          <w:szCs w:val="24"/>
        </w:rPr>
        <w:t>El área técnica considera conveniente proceder a la contratación de la oferta alternativa presentada por la oferente</w:t>
      </w:r>
      <w:r>
        <w:rPr>
          <w:i/>
          <w:sz w:val="24"/>
          <w:szCs w:val="24"/>
        </w:rPr>
        <w:t xml:space="preserve"> “ya que considera necesario continuar con el esquema actual de teclados y mouse cableados”</w:t>
      </w:r>
      <w:r w:rsidR="00DA2041">
        <w:rPr>
          <w:i/>
          <w:sz w:val="24"/>
          <w:szCs w:val="24"/>
        </w:rPr>
        <w:t xml:space="preserve">, </w:t>
      </w:r>
      <w:r w:rsidR="00DA2041" w:rsidRPr="00DA2041">
        <w:rPr>
          <w:sz w:val="24"/>
          <w:szCs w:val="24"/>
        </w:rPr>
        <w:t>haciéndose notar que la misma</w:t>
      </w:r>
      <w:r w:rsidR="00DA2041">
        <w:rPr>
          <w:i/>
          <w:sz w:val="24"/>
          <w:szCs w:val="24"/>
        </w:rPr>
        <w:t xml:space="preserve"> </w:t>
      </w:r>
      <w:r>
        <w:rPr>
          <w:sz w:val="24"/>
          <w:szCs w:val="24"/>
        </w:rPr>
        <w:t>resulta más económica que la oferta original.</w:t>
      </w:r>
    </w:p>
    <w:p w:rsidR="0054382C" w:rsidRPr="000476EF" w:rsidRDefault="0054382C" w:rsidP="0054382C">
      <w:pPr>
        <w:jc w:val="both"/>
        <w:rPr>
          <w:sz w:val="24"/>
          <w:szCs w:val="24"/>
        </w:rPr>
      </w:pPr>
    </w:p>
    <w:p w:rsidR="0054382C" w:rsidRPr="00D338F2" w:rsidRDefault="0054382C" w:rsidP="0054382C">
      <w:pPr>
        <w:jc w:val="both"/>
        <w:rPr>
          <w:b/>
          <w:bCs/>
          <w:szCs w:val="24"/>
          <w:effect w:val="shimmer"/>
        </w:rPr>
      </w:pPr>
      <w:r w:rsidRPr="000476EF">
        <w:rPr>
          <w:b/>
          <w:sz w:val="24"/>
          <w:szCs w:val="24"/>
        </w:rPr>
        <w:t xml:space="preserve">Del análisis efectuado y de acuerdo con lo hasta aquí expresado, esta Comisión estima que la presente debe ser considerada </w:t>
      </w:r>
      <w:r w:rsidRPr="000476EF">
        <w:rPr>
          <w:b/>
          <w:sz w:val="24"/>
          <w:szCs w:val="24"/>
          <w:u w:val="single"/>
        </w:rPr>
        <w:t>oferta</w:t>
      </w:r>
      <w:r w:rsidRPr="000476EF">
        <w:rPr>
          <w:b/>
          <w:bCs/>
          <w:sz w:val="28"/>
          <w:szCs w:val="28"/>
          <w:u w:val="single"/>
          <w:effect w:val="shimmer"/>
        </w:rPr>
        <w:t xml:space="preserve"> </w:t>
      </w:r>
      <w:r w:rsidRPr="000476EF">
        <w:rPr>
          <w:b/>
          <w:sz w:val="24"/>
          <w:szCs w:val="24"/>
          <w:u w:val="single"/>
        </w:rPr>
        <w:t>admisible</w:t>
      </w:r>
      <w:r w:rsidRPr="000476EF">
        <w:rPr>
          <w:b/>
          <w:sz w:val="24"/>
          <w:szCs w:val="24"/>
        </w:rPr>
        <w:t>.</w:t>
      </w:r>
    </w:p>
    <w:p w:rsidR="0008340A" w:rsidRDefault="0008340A" w:rsidP="0054382C">
      <w:pPr>
        <w:jc w:val="center"/>
        <w:outlineLvl w:val="0"/>
        <w:rPr>
          <w:b/>
          <w:bCs/>
          <w:sz w:val="28"/>
          <w:szCs w:val="28"/>
          <w:u w:val="single"/>
        </w:rPr>
      </w:pPr>
    </w:p>
    <w:p w:rsidR="0054382C" w:rsidRPr="00E25E7B" w:rsidRDefault="0054382C" w:rsidP="0054382C">
      <w:pPr>
        <w:jc w:val="center"/>
        <w:outlineLvl w:val="0"/>
        <w:rPr>
          <w:sz w:val="24"/>
          <w:szCs w:val="24"/>
        </w:rPr>
      </w:pPr>
      <w:r w:rsidRPr="00E25E7B">
        <w:rPr>
          <w:b/>
          <w:bCs/>
          <w:sz w:val="28"/>
          <w:szCs w:val="28"/>
          <w:u w:val="single"/>
        </w:rPr>
        <w:t>CONCLUSIÓN</w:t>
      </w:r>
    </w:p>
    <w:p w:rsidR="0054382C" w:rsidRPr="00E25E7B" w:rsidRDefault="0054382C" w:rsidP="0054382C">
      <w:pPr>
        <w:jc w:val="center"/>
        <w:rPr>
          <w:sz w:val="24"/>
          <w:szCs w:val="24"/>
        </w:rPr>
      </w:pPr>
    </w:p>
    <w:p w:rsidR="0054382C" w:rsidRPr="00E25E7B" w:rsidRDefault="0054382C" w:rsidP="0054382C">
      <w:pPr>
        <w:pStyle w:val="Textoindependiente"/>
        <w:rPr>
          <w:szCs w:val="24"/>
        </w:rPr>
      </w:pPr>
      <w:r w:rsidRPr="00E25E7B">
        <w:rPr>
          <w:szCs w:val="24"/>
        </w:rPr>
        <w:t xml:space="preserve">Del análisis practicado </w:t>
      </w:r>
      <w:r w:rsidRPr="00E25E7B">
        <w:rPr>
          <w:szCs w:val="24"/>
          <w:lang w:val="es-AR"/>
        </w:rPr>
        <w:t>sobre</w:t>
      </w:r>
      <w:r w:rsidRPr="00E25E7B">
        <w:rPr>
          <w:szCs w:val="24"/>
        </w:rPr>
        <w:t xml:space="preserve"> la documentación contenida en </w:t>
      </w:r>
      <w:r w:rsidR="00D67D7E">
        <w:rPr>
          <w:szCs w:val="24"/>
        </w:rPr>
        <w:t xml:space="preserve">el sobre </w:t>
      </w:r>
      <w:r w:rsidRPr="00E25E7B">
        <w:rPr>
          <w:szCs w:val="24"/>
        </w:rPr>
        <w:t xml:space="preserve">presentado en esta Licitación Pública </w:t>
      </w:r>
      <w:r w:rsidR="00D67D7E">
        <w:rPr>
          <w:szCs w:val="24"/>
        </w:rPr>
        <w:t>N° 27</w:t>
      </w:r>
      <w:r w:rsidRPr="00E25E7B">
        <w:rPr>
          <w:szCs w:val="24"/>
        </w:rPr>
        <w:t>/2013, resulta que</w:t>
      </w:r>
      <w:r w:rsidR="00D67D7E">
        <w:rPr>
          <w:szCs w:val="24"/>
        </w:rPr>
        <w:t xml:space="preserve"> la oferta presentada por la firma PC-ARTS ARGENTINA S.A. resulta admisible, correspondiendo por lo tanto preadjudicar el renglón N°1 por el monto de pesos dos millones setecientos dos mil ($2.702.000.-)</w:t>
      </w:r>
    </w:p>
    <w:p w:rsidR="0054382C" w:rsidRPr="00625423" w:rsidRDefault="0054382C" w:rsidP="0054382C">
      <w:pPr>
        <w:pStyle w:val="Textoindependiente"/>
        <w:rPr>
          <w:szCs w:val="24"/>
        </w:rPr>
      </w:pPr>
    </w:p>
    <w:p w:rsidR="0054382C" w:rsidRDefault="0054382C" w:rsidP="0054382C">
      <w:pPr>
        <w:jc w:val="both"/>
        <w:rPr>
          <w:sz w:val="24"/>
          <w:szCs w:val="24"/>
          <w:highlight w:val="green"/>
          <w:lang w:val="es-AR"/>
        </w:rPr>
      </w:pPr>
    </w:p>
    <w:p w:rsidR="0008340A" w:rsidRDefault="0008340A" w:rsidP="0054382C">
      <w:pPr>
        <w:jc w:val="both"/>
        <w:rPr>
          <w:sz w:val="24"/>
          <w:szCs w:val="24"/>
          <w:highlight w:val="green"/>
          <w:lang w:val="es-AR"/>
        </w:rPr>
      </w:pPr>
    </w:p>
    <w:p w:rsidR="0008340A" w:rsidRDefault="0008340A" w:rsidP="0054382C">
      <w:pPr>
        <w:jc w:val="both"/>
        <w:rPr>
          <w:sz w:val="24"/>
          <w:szCs w:val="24"/>
          <w:highlight w:val="green"/>
          <w:lang w:val="es-AR"/>
        </w:rPr>
      </w:pPr>
    </w:p>
    <w:p w:rsidR="0054382C" w:rsidRDefault="0054382C" w:rsidP="0054382C">
      <w:pPr>
        <w:jc w:val="both"/>
        <w:rPr>
          <w:sz w:val="24"/>
          <w:szCs w:val="24"/>
          <w:highlight w:val="green"/>
          <w:lang w:val="es-AR"/>
        </w:rPr>
      </w:pPr>
    </w:p>
    <w:p w:rsidR="0054382C" w:rsidRPr="00BB6431" w:rsidRDefault="0054382C" w:rsidP="0054382C">
      <w:pPr>
        <w:jc w:val="both"/>
        <w:rPr>
          <w:sz w:val="24"/>
          <w:szCs w:val="24"/>
          <w:highlight w:val="green"/>
          <w:lang w:val="es-AR"/>
        </w:rPr>
      </w:pPr>
    </w:p>
    <w:p w:rsidR="00847BC4" w:rsidRPr="00D67D7E" w:rsidRDefault="0054382C" w:rsidP="00D67D7E">
      <w:pPr>
        <w:jc w:val="both"/>
        <w:rPr>
          <w:b/>
          <w:bCs/>
          <w:sz w:val="24"/>
          <w:szCs w:val="24"/>
        </w:rPr>
      </w:pPr>
      <w:r w:rsidRPr="008D57E3">
        <w:rPr>
          <w:lang w:val="es-AR"/>
        </w:rPr>
        <w:t xml:space="preserve">      </w:t>
      </w:r>
      <w:r w:rsidR="00D67D7E">
        <w:rPr>
          <w:b/>
          <w:bCs/>
          <w:sz w:val="24"/>
          <w:szCs w:val="24"/>
          <w:lang w:val="es-AR"/>
        </w:rPr>
        <w:t>Gabriel Robirosa</w:t>
      </w:r>
      <w:r>
        <w:rPr>
          <w:b/>
          <w:bCs/>
          <w:sz w:val="24"/>
          <w:szCs w:val="24"/>
          <w:lang w:val="es-AR"/>
        </w:rPr>
        <w:t xml:space="preserve"> </w:t>
      </w:r>
      <w:r w:rsidRPr="008D57E3">
        <w:rPr>
          <w:b/>
          <w:bCs/>
          <w:sz w:val="24"/>
          <w:szCs w:val="24"/>
          <w:lang w:val="es-AR"/>
        </w:rPr>
        <w:t xml:space="preserve"> </w:t>
      </w:r>
      <w:r>
        <w:rPr>
          <w:b/>
          <w:bCs/>
          <w:sz w:val="24"/>
          <w:szCs w:val="24"/>
        </w:rPr>
        <w:t xml:space="preserve">            Adrián Costantino</w:t>
      </w:r>
      <w:r>
        <w:rPr>
          <w:b/>
          <w:bCs/>
          <w:sz w:val="24"/>
          <w:szCs w:val="24"/>
        </w:rPr>
        <w:tab/>
        <w:t xml:space="preserve">     </w:t>
      </w:r>
      <w:r w:rsidRPr="008D57E3">
        <w:rPr>
          <w:b/>
          <w:bCs/>
          <w:sz w:val="24"/>
          <w:szCs w:val="24"/>
        </w:rPr>
        <w:t>Federico Carballo</w:t>
      </w:r>
      <w:r>
        <w:rPr>
          <w:b/>
          <w:bCs/>
          <w:sz w:val="24"/>
          <w:szCs w:val="24"/>
        </w:rPr>
        <w:t xml:space="preserve">  </w:t>
      </w:r>
    </w:p>
    <w:sectPr w:rsidR="00847BC4" w:rsidRPr="00D67D7E" w:rsidSect="00847BC4">
      <w:headerReference w:type="default" r:id="rId10"/>
      <w:footerReference w:type="even" r:id="rId11"/>
      <w:footerReference w:type="default" r:id="rId12"/>
      <w:pgSz w:w="11907" w:h="16840" w:code="9"/>
      <w:pgMar w:top="1418" w:right="1701" w:bottom="1418" w:left="2835"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8F2" w:rsidRDefault="00D338F2">
      <w:r>
        <w:separator/>
      </w:r>
    </w:p>
  </w:endnote>
  <w:endnote w:type="continuationSeparator" w:id="0">
    <w:p w:rsidR="00D338F2" w:rsidRDefault="00D3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F2" w:rsidRDefault="00D338F2">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338F2" w:rsidRDefault="00D338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F2" w:rsidRDefault="00D338F2">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092B">
      <w:rPr>
        <w:rStyle w:val="Nmerodepgina"/>
        <w:noProof/>
      </w:rPr>
      <w:t>2</w:t>
    </w:r>
    <w:r>
      <w:rPr>
        <w:rStyle w:val="Nmerodepgina"/>
      </w:rPr>
      <w:fldChar w:fldCharType="end"/>
    </w:r>
  </w:p>
  <w:p w:rsidR="00D338F2" w:rsidRDefault="00D338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8F2" w:rsidRDefault="00D338F2">
      <w:r>
        <w:separator/>
      </w:r>
    </w:p>
  </w:footnote>
  <w:footnote w:type="continuationSeparator" w:id="0">
    <w:p w:rsidR="00D338F2" w:rsidRDefault="00D33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F2" w:rsidRDefault="00D338F2" w:rsidP="00847BC4">
    <w:pPr>
      <w:pStyle w:val="Encabezado"/>
      <w:rPr>
        <w:color w:val="FFFFFF"/>
      </w:rPr>
    </w:pPr>
    <w:r>
      <w:rPr>
        <w:color w:val="FFFFFF"/>
      </w:rPr>
      <w:t xml:space="preserve">                                                  </w:t>
    </w:r>
    <w:r>
      <w:t>"2013. Año del 30º aniversario de la vuelta a la democracia”</w:t>
    </w:r>
    <w:r>
      <w:rPr>
        <w:color w:val="FFFFFF"/>
      </w:rPr>
      <w:t xml:space="preserve">  </w:t>
    </w:r>
  </w:p>
  <w:p w:rsidR="00D338F2" w:rsidRDefault="00D338F2" w:rsidP="00847BC4">
    <w:pPr>
      <w:pStyle w:val="Encabezado"/>
      <w:rPr>
        <w:color w:val="FFFFFF"/>
      </w:rPr>
    </w:pPr>
    <w:r>
      <w:rPr>
        <w:color w:val="FFFFFF"/>
      </w:rPr>
      <w:t xml:space="preserve">                             </w:t>
    </w:r>
  </w:p>
  <w:bookmarkStart w:id="1" w:name="_MON_1423057807"/>
  <w:bookmarkEnd w:id="1"/>
  <w:bookmarkStart w:id="2" w:name="_MON_1423057836"/>
  <w:bookmarkEnd w:id="2"/>
  <w:p w:rsidR="00D338F2" w:rsidRDefault="00D338F2" w:rsidP="00847BC4">
    <w:pPr>
      <w:pStyle w:val="Encabezado"/>
      <w:jc w:val="center"/>
      <w:rPr>
        <w:color w:val="FFFFFF"/>
      </w:rPr>
    </w:pPr>
    <w:r>
      <w:rPr>
        <w:color w:val="FFFFFF"/>
        <w:highlight w:val="blue"/>
      </w:rP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5.5pt" o:ole="" fillcolor="window">
          <v:imagedata r:id="rId1" o:title=""/>
        </v:shape>
        <o:OLEObject Type="Embed" ProgID="Word.Picture.8" ShapeID="_x0000_i1025" DrawAspect="Content" ObjectID="_1448188852" r:id="rId2"/>
      </w:object>
    </w:r>
  </w:p>
  <w:p w:rsidR="00D338F2" w:rsidRDefault="00D338F2">
    <w:pPr>
      <w:pStyle w:val="Encabezado"/>
      <w:tabs>
        <w:tab w:val="left" w:pos="-567"/>
      </w:tabs>
      <w:ind w:left="-567"/>
      <w:jc w:val="center"/>
      <w:rPr>
        <w:rFonts w:ascii="Calisto MT" w:hAnsi="Calisto MT"/>
        <w:b/>
        <w:bCs/>
        <w:i/>
        <w:iCs/>
      </w:rPr>
    </w:pPr>
    <w:r>
      <w:rPr>
        <w:rFonts w:ascii="Calisto MT" w:hAnsi="Calisto MT"/>
        <w:b/>
        <w:bCs/>
        <w:i/>
        <w:iCs/>
        <w:sz w:val="24"/>
        <w:szCs w:val="24"/>
      </w:rPr>
      <w:t xml:space="preserve">         Consejo de la Magistratura de la Ciudad Autónoma de Buenos  Aires</w:t>
    </w:r>
  </w:p>
  <w:p w:rsidR="00D338F2" w:rsidRDefault="00D338F2">
    <w:pPr>
      <w:pStyle w:val="Encabezado"/>
      <w:tabs>
        <w:tab w:val="left" w:pos="-567"/>
      </w:tabs>
      <w:ind w:left="-567"/>
      <w:jc w:val="center"/>
      <w:rPr>
        <w:rFonts w:ascii="Calisto MT" w:hAnsi="Calisto MT"/>
        <w:b/>
        <w:bCs/>
        <w:i/>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D33C2"/>
    <w:multiLevelType w:val="hybridMultilevel"/>
    <w:tmpl w:val="CBEA61D0"/>
    <w:lvl w:ilvl="0" w:tplc="DB78066C">
      <w:start w:val="1"/>
      <w:numFmt w:val="bullet"/>
      <w:lvlText w:val=""/>
      <w:lvlJc w:val="left"/>
      <w:pPr>
        <w:tabs>
          <w:tab w:val="num" w:pos="360"/>
        </w:tabs>
      </w:pPr>
      <w:rPr>
        <w:rFonts w:ascii="Symbol"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1">
    <w:nsid w:val="48041276"/>
    <w:multiLevelType w:val="hybridMultilevel"/>
    <w:tmpl w:val="2CB45138"/>
    <w:lvl w:ilvl="0" w:tplc="CC4ADD8E">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76F204DF"/>
    <w:multiLevelType w:val="singleLevel"/>
    <w:tmpl w:val="3188768E"/>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2C"/>
    <w:rsid w:val="0008340A"/>
    <w:rsid w:val="000A2770"/>
    <w:rsid w:val="001E64E2"/>
    <w:rsid w:val="00214B52"/>
    <w:rsid w:val="002C0B64"/>
    <w:rsid w:val="00387E67"/>
    <w:rsid w:val="004040D3"/>
    <w:rsid w:val="0052092B"/>
    <w:rsid w:val="0054382C"/>
    <w:rsid w:val="0069325C"/>
    <w:rsid w:val="00847BC4"/>
    <w:rsid w:val="00917CB5"/>
    <w:rsid w:val="00AB7665"/>
    <w:rsid w:val="00B55F60"/>
    <w:rsid w:val="00D338F2"/>
    <w:rsid w:val="00D67D7E"/>
    <w:rsid w:val="00DA2041"/>
    <w:rsid w:val="00E0783B"/>
    <w:rsid w:val="00F355E6"/>
    <w:rsid w:val="00F40CB2"/>
    <w:rsid w:val="00FD09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2C"/>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qFormat/>
    <w:rsid w:val="0054382C"/>
    <w:pPr>
      <w:keepNext/>
      <w:jc w:val="both"/>
      <w:outlineLvl w:val="4"/>
    </w:pPr>
    <w:rPr>
      <w:bCs/>
      <w:sz w:val="24"/>
    </w:rPr>
  </w:style>
  <w:style w:type="paragraph" w:styleId="Ttulo8">
    <w:name w:val="heading 8"/>
    <w:basedOn w:val="Normal"/>
    <w:next w:val="Normal"/>
    <w:link w:val="Ttulo8Car"/>
    <w:qFormat/>
    <w:rsid w:val="0054382C"/>
    <w:pPr>
      <w:keepNext/>
      <w:outlineLvl w:val="7"/>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54382C"/>
    <w:rPr>
      <w:rFonts w:ascii="Times New Roman" w:eastAsia="Times New Roman" w:hAnsi="Times New Roman" w:cs="Times New Roman"/>
      <w:bCs/>
      <w:sz w:val="24"/>
      <w:szCs w:val="20"/>
      <w:lang w:val="es-ES" w:eastAsia="es-ES"/>
    </w:rPr>
  </w:style>
  <w:style w:type="character" w:customStyle="1" w:styleId="Ttulo8Car">
    <w:name w:val="Título 8 Car"/>
    <w:basedOn w:val="Fuentedeprrafopredeter"/>
    <w:link w:val="Ttulo8"/>
    <w:rsid w:val="0054382C"/>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54382C"/>
    <w:pPr>
      <w:tabs>
        <w:tab w:val="center" w:pos="4252"/>
        <w:tab w:val="right" w:pos="8504"/>
      </w:tabs>
    </w:pPr>
  </w:style>
  <w:style w:type="character" w:customStyle="1" w:styleId="EncabezadoCar">
    <w:name w:val="Encabezado Car"/>
    <w:basedOn w:val="Fuentedeprrafopredeter"/>
    <w:link w:val="Encabezado"/>
    <w:rsid w:val="0054382C"/>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54382C"/>
    <w:pPr>
      <w:tabs>
        <w:tab w:val="center" w:pos="4252"/>
        <w:tab w:val="right" w:pos="8504"/>
      </w:tabs>
    </w:pPr>
  </w:style>
  <w:style w:type="character" w:customStyle="1" w:styleId="PiedepginaCar">
    <w:name w:val="Pie de página Car"/>
    <w:basedOn w:val="Fuentedeprrafopredeter"/>
    <w:link w:val="Piedepgina"/>
    <w:rsid w:val="0054382C"/>
    <w:rPr>
      <w:rFonts w:ascii="Times New Roman" w:eastAsia="Times New Roman" w:hAnsi="Times New Roman" w:cs="Times New Roman"/>
      <w:sz w:val="20"/>
      <w:szCs w:val="20"/>
      <w:lang w:val="es-ES" w:eastAsia="es-ES"/>
    </w:rPr>
  </w:style>
  <w:style w:type="character" w:styleId="Nmerodepgina">
    <w:name w:val="page number"/>
    <w:rsid w:val="0054382C"/>
    <w:rPr>
      <w:rFonts w:ascii="Times New Roman" w:hAnsi="Times New Roman" w:cs="Times New Roman"/>
    </w:rPr>
  </w:style>
  <w:style w:type="paragraph" w:styleId="Textoindependiente">
    <w:name w:val="Body Text"/>
    <w:aliases w:val="bt,Body3"/>
    <w:basedOn w:val="Normal"/>
    <w:link w:val="TextoindependienteCar"/>
    <w:rsid w:val="0054382C"/>
    <w:pPr>
      <w:jc w:val="both"/>
    </w:pPr>
    <w:rPr>
      <w:sz w:val="24"/>
    </w:rPr>
  </w:style>
  <w:style w:type="character" w:customStyle="1" w:styleId="TextoindependienteCar">
    <w:name w:val="Texto independiente Car"/>
    <w:aliases w:val="bt Car,Body3 Car"/>
    <w:basedOn w:val="Fuentedeprrafopredeter"/>
    <w:link w:val="Textoindependiente"/>
    <w:rsid w:val="0054382C"/>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54382C"/>
    <w:pPr>
      <w:jc w:val="both"/>
    </w:pPr>
    <w:rPr>
      <w:b/>
      <w:sz w:val="24"/>
    </w:rPr>
  </w:style>
  <w:style w:type="character" w:customStyle="1" w:styleId="Textoindependiente3Car">
    <w:name w:val="Texto independiente 3 Car"/>
    <w:basedOn w:val="Fuentedeprrafopredeter"/>
    <w:link w:val="Textoindependiente3"/>
    <w:rsid w:val="0054382C"/>
    <w:rPr>
      <w:rFonts w:ascii="Times New Roman" w:eastAsia="Times New Roman" w:hAnsi="Times New Roman" w:cs="Times New Roman"/>
      <w:b/>
      <w:sz w:val="24"/>
      <w:szCs w:val="20"/>
      <w:lang w:val="es-ES" w:eastAsia="es-ES"/>
    </w:rPr>
  </w:style>
  <w:style w:type="character" w:styleId="Hipervnculo">
    <w:name w:val="Hyperlink"/>
    <w:basedOn w:val="Fuentedeprrafopredeter"/>
    <w:uiPriority w:val="99"/>
    <w:unhideWhenUsed/>
    <w:rsid w:val="00387E67"/>
    <w:rPr>
      <w:color w:val="0000FF" w:themeColor="hyperlink"/>
      <w:u w:val="single"/>
    </w:rPr>
  </w:style>
  <w:style w:type="paragraph" w:styleId="Textodeglobo">
    <w:name w:val="Balloon Text"/>
    <w:basedOn w:val="Normal"/>
    <w:link w:val="TextodegloboCar"/>
    <w:uiPriority w:val="99"/>
    <w:semiHidden/>
    <w:unhideWhenUsed/>
    <w:rsid w:val="00083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40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2C"/>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qFormat/>
    <w:rsid w:val="0054382C"/>
    <w:pPr>
      <w:keepNext/>
      <w:jc w:val="both"/>
      <w:outlineLvl w:val="4"/>
    </w:pPr>
    <w:rPr>
      <w:bCs/>
      <w:sz w:val="24"/>
    </w:rPr>
  </w:style>
  <w:style w:type="paragraph" w:styleId="Ttulo8">
    <w:name w:val="heading 8"/>
    <w:basedOn w:val="Normal"/>
    <w:next w:val="Normal"/>
    <w:link w:val="Ttulo8Car"/>
    <w:qFormat/>
    <w:rsid w:val="0054382C"/>
    <w:pPr>
      <w:keepNext/>
      <w:outlineLvl w:val="7"/>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54382C"/>
    <w:rPr>
      <w:rFonts w:ascii="Times New Roman" w:eastAsia="Times New Roman" w:hAnsi="Times New Roman" w:cs="Times New Roman"/>
      <w:bCs/>
      <w:sz w:val="24"/>
      <w:szCs w:val="20"/>
      <w:lang w:val="es-ES" w:eastAsia="es-ES"/>
    </w:rPr>
  </w:style>
  <w:style w:type="character" w:customStyle="1" w:styleId="Ttulo8Car">
    <w:name w:val="Título 8 Car"/>
    <w:basedOn w:val="Fuentedeprrafopredeter"/>
    <w:link w:val="Ttulo8"/>
    <w:rsid w:val="0054382C"/>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54382C"/>
    <w:pPr>
      <w:tabs>
        <w:tab w:val="center" w:pos="4252"/>
        <w:tab w:val="right" w:pos="8504"/>
      </w:tabs>
    </w:pPr>
  </w:style>
  <w:style w:type="character" w:customStyle="1" w:styleId="EncabezadoCar">
    <w:name w:val="Encabezado Car"/>
    <w:basedOn w:val="Fuentedeprrafopredeter"/>
    <w:link w:val="Encabezado"/>
    <w:rsid w:val="0054382C"/>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54382C"/>
    <w:pPr>
      <w:tabs>
        <w:tab w:val="center" w:pos="4252"/>
        <w:tab w:val="right" w:pos="8504"/>
      </w:tabs>
    </w:pPr>
  </w:style>
  <w:style w:type="character" w:customStyle="1" w:styleId="PiedepginaCar">
    <w:name w:val="Pie de página Car"/>
    <w:basedOn w:val="Fuentedeprrafopredeter"/>
    <w:link w:val="Piedepgina"/>
    <w:rsid w:val="0054382C"/>
    <w:rPr>
      <w:rFonts w:ascii="Times New Roman" w:eastAsia="Times New Roman" w:hAnsi="Times New Roman" w:cs="Times New Roman"/>
      <w:sz w:val="20"/>
      <w:szCs w:val="20"/>
      <w:lang w:val="es-ES" w:eastAsia="es-ES"/>
    </w:rPr>
  </w:style>
  <w:style w:type="character" w:styleId="Nmerodepgina">
    <w:name w:val="page number"/>
    <w:rsid w:val="0054382C"/>
    <w:rPr>
      <w:rFonts w:ascii="Times New Roman" w:hAnsi="Times New Roman" w:cs="Times New Roman"/>
    </w:rPr>
  </w:style>
  <w:style w:type="paragraph" w:styleId="Textoindependiente">
    <w:name w:val="Body Text"/>
    <w:aliases w:val="bt,Body3"/>
    <w:basedOn w:val="Normal"/>
    <w:link w:val="TextoindependienteCar"/>
    <w:rsid w:val="0054382C"/>
    <w:pPr>
      <w:jc w:val="both"/>
    </w:pPr>
    <w:rPr>
      <w:sz w:val="24"/>
    </w:rPr>
  </w:style>
  <w:style w:type="character" w:customStyle="1" w:styleId="TextoindependienteCar">
    <w:name w:val="Texto independiente Car"/>
    <w:aliases w:val="bt Car,Body3 Car"/>
    <w:basedOn w:val="Fuentedeprrafopredeter"/>
    <w:link w:val="Textoindependiente"/>
    <w:rsid w:val="0054382C"/>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54382C"/>
    <w:pPr>
      <w:jc w:val="both"/>
    </w:pPr>
    <w:rPr>
      <w:b/>
      <w:sz w:val="24"/>
    </w:rPr>
  </w:style>
  <w:style w:type="character" w:customStyle="1" w:styleId="Textoindependiente3Car">
    <w:name w:val="Texto independiente 3 Car"/>
    <w:basedOn w:val="Fuentedeprrafopredeter"/>
    <w:link w:val="Textoindependiente3"/>
    <w:rsid w:val="0054382C"/>
    <w:rPr>
      <w:rFonts w:ascii="Times New Roman" w:eastAsia="Times New Roman" w:hAnsi="Times New Roman" w:cs="Times New Roman"/>
      <w:b/>
      <w:sz w:val="24"/>
      <w:szCs w:val="20"/>
      <w:lang w:val="es-ES" w:eastAsia="es-ES"/>
    </w:rPr>
  </w:style>
  <w:style w:type="character" w:styleId="Hipervnculo">
    <w:name w:val="Hyperlink"/>
    <w:basedOn w:val="Fuentedeprrafopredeter"/>
    <w:uiPriority w:val="99"/>
    <w:unhideWhenUsed/>
    <w:rsid w:val="00387E67"/>
    <w:rPr>
      <w:color w:val="0000FF" w:themeColor="hyperlink"/>
      <w:u w:val="single"/>
    </w:rPr>
  </w:style>
  <w:style w:type="paragraph" w:styleId="Textodeglobo">
    <w:name w:val="Balloon Text"/>
    <w:basedOn w:val="Normal"/>
    <w:link w:val="TextodegloboCar"/>
    <w:uiPriority w:val="99"/>
    <w:semiHidden/>
    <w:unhideWhenUsed/>
    <w:rsid w:val="00083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40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artkopf@pcartsargentina.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erantes@pcartsargenti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Hernan Carballo</dc:creator>
  <cp:lastModifiedBy>Federico Hernan Carballo</cp:lastModifiedBy>
  <cp:revision>2</cp:revision>
  <cp:lastPrinted>2013-12-10T16:31:00Z</cp:lastPrinted>
  <dcterms:created xsi:type="dcterms:W3CDTF">2013-12-10T16:54:00Z</dcterms:created>
  <dcterms:modified xsi:type="dcterms:W3CDTF">2013-12-10T16:54:00Z</dcterms:modified>
</cp:coreProperties>
</file>