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6B" w:rsidRPr="006A4F19" w:rsidRDefault="00476E6B" w:rsidP="006A4F19">
      <w:pPr>
        <w:pStyle w:val="NormalWeb"/>
        <w:shd w:val="clear" w:color="auto" w:fill="FFFFFF"/>
        <w:spacing w:line="276" w:lineRule="auto"/>
        <w:jc w:val="both"/>
        <w:rPr>
          <w:b/>
          <w:u w:val="single"/>
        </w:rPr>
      </w:pPr>
      <w:bookmarkStart w:id="0" w:name="_GoBack"/>
      <w:bookmarkEnd w:id="0"/>
    </w:p>
    <w:p w:rsidR="00047783" w:rsidRPr="006A4F19" w:rsidRDefault="00476E6B" w:rsidP="00F74190">
      <w:pPr>
        <w:pStyle w:val="NormalWeb"/>
        <w:shd w:val="clear" w:color="auto" w:fill="FFFFFF"/>
        <w:spacing w:line="276" w:lineRule="auto"/>
        <w:jc w:val="center"/>
        <w:rPr>
          <w:b/>
          <w:u w:val="single"/>
        </w:rPr>
      </w:pPr>
      <w:r w:rsidRPr="006A4F19">
        <w:rPr>
          <w:b/>
          <w:u w:val="single"/>
        </w:rPr>
        <w:t>DICTAMEN DE EVALUACIÓN DE OFERTAS</w:t>
      </w:r>
    </w:p>
    <w:p w:rsidR="00476E6B" w:rsidRPr="006A4F19" w:rsidRDefault="00476E6B" w:rsidP="006A4F19">
      <w:pPr>
        <w:pStyle w:val="NormalWeb"/>
        <w:shd w:val="clear" w:color="auto" w:fill="FFFFFF"/>
        <w:spacing w:line="276" w:lineRule="auto"/>
        <w:jc w:val="both"/>
        <w:rPr>
          <w:b/>
          <w:u w:val="single"/>
        </w:rPr>
      </w:pPr>
    </w:p>
    <w:p w:rsidR="00047783" w:rsidRPr="006A4F19" w:rsidRDefault="00F676C9" w:rsidP="00F74190">
      <w:pPr>
        <w:pStyle w:val="NormalWeb"/>
        <w:shd w:val="clear" w:color="auto" w:fill="FFFFFF"/>
        <w:spacing w:line="276" w:lineRule="auto"/>
        <w:jc w:val="right"/>
      </w:pPr>
      <w:r w:rsidRPr="006A4F19">
        <w:t xml:space="preserve">Buenos Aires, </w:t>
      </w:r>
      <w:r w:rsidR="00F74190">
        <w:t>3</w:t>
      </w:r>
      <w:r w:rsidR="00490202">
        <w:t>1</w:t>
      </w:r>
      <w:r w:rsidR="00F74190">
        <w:t xml:space="preserve"> </w:t>
      </w:r>
      <w:r w:rsidR="00047783" w:rsidRPr="006A4F19">
        <w:t>de</w:t>
      </w:r>
      <w:r w:rsidR="003C4F53" w:rsidRPr="006A4F19">
        <w:t xml:space="preserve"> </w:t>
      </w:r>
      <w:r w:rsidR="00F74190">
        <w:t xml:space="preserve">Agosto </w:t>
      </w:r>
      <w:r w:rsidR="00983AA4" w:rsidRPr="006A4F19">
        <w:t xml:space="preserve">de </w:t>
      </w:r>
      <w:r w:rsidR="00476E6B" w:rsidRPr="006A4F19">
        <w:t>201</w:t>
      </w:r>
      <w:r w:rsidR="00F74190">
        <w:t>5</w:t>
      </w:r>
      <w:r w:rsidR="00047783" w:rsidRPr="006A4F19">
        <w:t xml:space="preserve">  </w:t>
      </w:r>
    </w:p>
    <w:p w:rsidR="00AE5619" w:rsidRPr="006A4F19" w:rsidRDefault="00AE5619" w:rsidP="006A4F19">
      <w:pPr>
        <w:pStyle w:val="NormalWeb"/>
        <w:shd w:val="clear" w:color="auto" w:fill="FFFFFF"/>
        <w:spacing w:line="276" w:lineRule="auto"/>
        <w:jc w:val="both"/>
        <w:rPr>
          <w:b/>
          <w:bCs/>
          <w:u w:val="single"/>
        </w:rPr>
      </w:pPr>
    </w:p>
    <w:p w:rsidR="00047783" w:rsidRPr="006A4F19" w:rsidRDefault="00047783" w:rsidP="006A4F19">
      <w:pPr>
        <w:pStyle w:val="NormalWeb"/>
        <w:shd w:val="clear" w:color="auto" w:fill="FFFFFF"/>
        <w:spacing w:line="276" w:lineRule="auto"/>
        <w:jc w:val="both"/>
        <w:rPr>
          <w:b/>
          <w:bCs/>
          <w:u w:val="single"/>
        </w:rPr>
      </w:pPr>
      <w:r w:rsidRPr="006A4F19">
        <w:rPr>
          <w:b/>
          <w:bCs/>
          <w:u w:val="single"/>
        </w:rPr>
        <w:t>Ref</w:t>
      </w:r>
      <w:r w:rsidR="009F3C7E" w:rsidRPr="006A4F19">
        <w:rPr>
          <w:b/>
          <w:bCs/>
          <w:u w:val="single"/>
        </w:rPr>
        <w:t>.</w:t>
      </w:r>
      <w:r w:rsidRPr="006A4F19">
        <w:rPr>
          <w:b/>
          <w:bCs/>
          <w:u w:val="single"/>
        </w:rPr>
        <w:t xml:space="preserve">: </w:t>
      </w:r>
      <w:r w:rsidRPr="006A4F19">
        <w:rPr>
          <w:b/>
          <w:u w:val="single"/>
        </w:rPr>
        <w:t>Expediente C.M.</w:t>
      </w:r>
      <w:r w:rsidR="009F3C7E" w:rsidRPr="006A4F19">
        <w:rPr>
          <w:b/>
          <w:u w:val="single"/>
        </w:rPr>
        <w:t xml:space="preserve"> </w:t>
      </w:r>
      <w:r w:rsidR="00983AA4" w:rsidRPr="006A4F19">
        <w:rPr>
          <w:b/>
          <w:u w:val="single"/>
        </w:rPr>
        <w:t>Nº DCC-1</w:t>
      </w:r>
      <w:r w:rsidR="003C4F53" w:rsidRPr="006A4F19">
        <w:rPr>
          <w:b/>
          <w:u w:val="single"/>
        </w:rPr>
        <w:t>58</w:t>
      </w:r>
      <w:r w:rsidR="00983AA4" w:rsidRPr="006A4F19">
        <w:rPr>
          <w:b/>
          <w:u w:val="single"/>
        </w:rPr>
        <w:t xml:space="preserve">/14-0 </w:t>
      </w:r>
      <w:r w:rsidRPr="006A4F19">
        <w:rPr>
          <w:b/>
          <w:u w:val="single"/>
        </w:rPr>
        <w:t>- Licitación Pública Nº</w:t>
      </w:r>
      <w:r w:rsidR="003C4F53" w:rsidRPr="006A4F19">
        <w:rPr>
          <w:b/>
          <w:u w:val="single"/>
        </w:rPr>
        <w:t xml:space="preserve"> 22</w:t>
      </w:r>
      <w:r w:rsidRPr="006A4F19">
        <w:rPr>
          <w:b/>
          <w:u w:val="single"/>
        </w:rPr>
        <w:t>/2014 s/</w:t>
      </w:r>
      <w:r w:rsidR="003C4F53" w:rsidRPr="006A4F19">
        <w:rPr>
          <w:b/>
          <w:u w:val="single"/>
        </w:rPr>
        <w:t xml:space="preserve"> Contratación del Servicio Integral de Limpieza para el Ministerio Público de la C.A.B</w:t>
      </w:r>
      <w:r w:rsidRPr="006A4F19">
        <w:rPr>
          <w:b/>
          <w:u w:val="single"/>
        </w:rPr>
        <w:t>.</w:t>
      </w:r>
      <w:r w:rsidR="003C4F53" w:rsidRPr="006A4F19">
        <w:rPr>
          <w:b/>
          <w:u w:val="single"/>
        </w:rPr>
        <w:t>A.</w:t>
      </w:r>
    </w:p>
    <w:p w:rsidR="00047783" w:rsidRDefault="00047783" w:rsidP="006A4F19">
      <w:pPr>
        <w:pStyle w:val="NormalWeb"/>
        <w:shd w:val="clear" w:color="auto" w:fill="FFFFFF"/>
        <w:spacing w:line="276" w:lineRule="auto"/>
        <w:jc w:val="both"/>
      </w:pPr>
      <w:r w:rsidRPr="006A4F19">
        <w:t>Lle</w:t>
      </w:r>
      <w:r w:rsidR="00FD5821" w:rsidRPr="006A4F19">
        <w:t xml:space="preserve">ga </w:t>
      </w:r>
      <w:r w:rsidR="0030591E" w:rsidRPr="006A4F19">
        <w:t xml:space="preserve">el presente expediente </w:t>
      </w:r>
      <w:r w:rsidRPr="006A4F19">
        <w:t>a c</w:t>
      </w:r>
      <w:r w:rsidR="002508B1" w:rsidRPr="006A4F19">
        <w:t xml:space="preserve">onocimiento de esta </w:t>
      </w:r>
      <w:r w:rsidR="003C4F53" w:rsidRPr="006A4F19">
        <w:t xml:space="preserve">Unidad de </w:t>
      </w:r>
      <w:r w:rsidR="002508B1" w:rsidRPr="006A4F19">
        <w:t>Ev</w:t>
      </w:r>
      <w:r w:rsidR="0093292D" w:rsidRPr="006A4F19">
        <w:t>aluación de Ofertas</w:t>
      </w:r>
      <w:r w:rsidRPr="006A4F19">
        <w:t xml:space="preserve"> a fin de dictaminar en el marco de la Licitación de referencia, con un presupuesto </w:t>
      </w:r>
      <w:r w:rsidR="00FD5821" w:rsidRPr="006A4F19">
        <w:t xml:space="preserve">oficial estimado </w:t>
      </w:r>
      <w:r w:rsidRPr="006A4F19">
        <w:t>e</w:t>
      </w:r>
      <w:r w:rsidR="00FD5821" w:rsidRPr="006A4F19">
        <w:t>n</w:t>
      </w:r>
      <w:r w:rsidRPr="006A4F19">
        <w:t xml:space="preserve"> pesos</w:t>
      </w:r>
      <w:r w:rsidR="00983AA4" w:rsidRPr="006A4F19">
        <w:t xml:space="preserve"> </w:t>
      </w:r>
      <w:r w:rsidR="003C4F53" w:rsidRPr="006A4F19">
        <w:t xml:space="preserve">Cuarenta y Seis Millones Doscientos Cincuenta y Dos Mil Ochocientos </w:t>
      </w:r>
      <w:r w:rsidRPr="006A4F19">
        <w:t xml:space="preserve">($ </w:t>
      </w:r>
      <w:r w:rsidR="003C4F53" w:rsidRPr="006A4F19">
        <w:t>46.252.800</w:t>
      </w:r>
      <w:r w:rsidRPr="006A4F19">
        <w:t>.-)</w:t>
      </w:r>
      <w:r w:rsidR="00983AA4" w:rsidRPr="006A4F19">
        <w:t>, IVA incluido</w:t>
      </w:r>
      <w:r w:rsidRPr="006A4F19">
        <w:t>.</w:t>
      </w:r>
    </w:p>
    <w:p w:rsidR="00545FA5" w:rsidRDefault="006778A7" w:rsidP="006A4F19">
      <w:pPr>
        <w:pStyle w:val="NormalWeb"/>
        <w:shd w:val="clear" w:color="auto" w:fill="FFFFFF"/>
        <w:spacing w:line="276" w:lineRule="auto"/>
        <w:jc w:val="both"/>
        <w:rPr>
          <w:lang w:val="es-AR"/>
        </w:rPr>
      </w:pPr>
      <w:r>
        <w:t xml:space="preserve">Que conforme surge del Dictamen </w:t>
      </w:r>
      <w:r w:rsidR="00545FA5">
        <w:t xml:space="preserve">emitido por esta Unidad a fs 1628/1638, se declararon admisibles las ofertas de </w:t>
      </w:r>
      <w:r w:rsidR="00545FA5">
        <w:rPr>
          <w:lang w:val="es-AR"/>
        </w:rPr>
        <w:t xml:space="preserve">LA MANTOVANA DE SERVICIOS GENERALES S.A., LIMPIOLUX S.A., SULIMP S.A. E INMANTEC S.R.L., TODAS superado el puntaje mínimo de 39 puntos establecido para acceder a la apertura del Sobre N° 2, siendo los puntajes de 73 puntos para LA MANTOVANA </w:t>
      </w:r>
      <w:r w:rsidR="00DB48DF">
        <w:rPr>
          <w:lang w:val="es-AR"/>
        </w:rPr>
        <w:t>D</w:t>
      </w:r>
      <w:r w:rsidR="00545FA5">
        <w:rPr>
          <w:lang w:val="es-AR"/>
        </w:rPr>
        <w:t>E SERVICIOS GENERALES S.A., 57 para LIMPIOLUX S.A., 48 puntos para SULIMP S.A. y 48 puntos para INMANTEC S.R.L.</w:t>
      </w:r>
    </w:p>
    <w:p w:rsidR="00545FA5" w:rsidRDefault="00545FA5" w:rsidP="006A4F19">
      <w:pPr>
        <w:pStyle w:val="NormalWeb"/>
        <w:shd w:val="clear" w:color="auto" w:fill="FFFFFF"/>
        <w:spacing w:line="276" w:lineRule="auto"/>
        <w:jc w:val="both"/>
        <w:rPr>
          <w:lang w:val="es-AR"/>
        </w:rPr>
      </w:pPr>
      <w:r>
        <w:rPr>
          <w:lang w:val="es-AR"/>
        </w:rPr>
        <w:t>Que a fs. 1679/1684, la Resolución CAGyMJ N° 84/2014 fijó la fecha de apertura para el Sobre N° 2 para el 22 de diciembre de 2014, 15hs, declarándose admisibles las ofertas de los oferentes La Mantovana de Servicios Generales S.S., Limpiolux S.A., Sulimp S.A. e Inmantec S.R.L.</w:t>
      </w:r>
    </w:p>
    <w:p w:rsidR="00C81F35" w:rsidRDefault="00C81F35" w:rsidP="006A4F19">
      <w:pPr>
        <w:pStyle w:val="NormalWeb"/>
        <w:shd w:val="clear" w:color="auto" w:fill="FFFFFF"/>
        <w:spacing w:line="276" w:lineRule="auto"/>
        <w:jc w:val="both"/>
      </w:pPr>
      <w:r>
        <w:t>Que a fs. 1698</w:t>
      </w:r>
      <w:r w:rsidR="00F06DD5">
        <w:t xml:space="preserve"> obra el acta de apertura, con su cuadro comparativo de ofertas de fs. 1699, en el cual se procedió a la apertura de los Sobres N° 2, encontrándose presentes en dicho acto los Dres. </w:t>
      </w:r>
      <w:r w:rsidR="007354D7">
        <w:t>Federico Carballo y Federico Gallo, de la Unidad de Evaluación de Ofertas, el Cdor. Horacio Lértora, Director de Compras y Contrataciones y los Sres. Reynaldo Rol</w:t>
      </w:r>
      <w:r w:rsidR="008E3C49">
        <w:t>o</w:t>
      </w:r>
      <w:r w:rsidR="007354D7">
        <w:t>n y Liliana Feraudo.</w:t>
      </w:r>
    </w:p>
    <w:p w:rsidR="009A55DD" w:rsidRDefault="009A55DD" w:rsidP="006A4F19">
      <w:pPr>
        <w:pStyle w:val="NormalWeb"/>
        <w:shd w:val="clear" w:color="auto" w:fill="FFFFFF"/>
        <w:spacing w:line="276" w:lineRule="auto"/>
        <w:jc w:val="both"/>
      </w:pPr>
      <w:r>
        <w:t>Que a fs. 1700/1702 obra la oferta de LA MANTOVANA DE SERVICIOS GENERALES S.A.</w:t>
      </w:r>
      <w:r w:rsidRPr="009A55DD">
        <w:rPr>
          <w:color w:val="auto"/>
        </w:rPr>
        <w:t xml:space="preserve"> </w:t>
      </w:r>
      <w:r w:rsidRPr="009A55DD">
        <w:t>por la suma total de PESOS CINCUENTA Y CINCO MILLONES CUATROCIENTOS NOVENTA Y SIETE MIL SEISCIENTOS ($55.497.600</w:t>
      </w:r>
      <w:r>
        <w:t xml:space="preserve">.-) IVA </w:t>
      </w:r>
      <w:r>
        <w:lastRenderedPageBreak/>
        <w:t>INCLUIDO</w:t>
      </w:r>
      <w:r w:rsidRPr="009A55DD">
        <w:t xml:space="preserve">, </w:t>
      </w:r>
      <w:r>
        <w:t xml:space="preserve">encontrándose a fs. 1706 los Anexos A y B; a fs. 1709/1711 obra la oferta de LIMPIOLUX S.A.  a fs. 1709/1711 por la suma de PESOS SESENTA Y UN MILLONES OCHOCIENTOS SESENTA Y SEIS MIL ($61.866.000.-) IVA INCLUIDO, encontrándose a fs. 1712/1713 los Anexos A y B; a fs. 1715/1716 la oferta de SULIMP S.A. por la suma de PESOS CINCUENTA Y OCHO MILLONES CUATROCIENTOS VEINTIOCHO MIL ($58.428.000.-) IVA INCLUIDO, encontrándose a fs. 1717 los anexos A y B; y a fs. 1720/1722 la oferta de INMANTEC S.R.L. por la suma de PESOS </w:t>
      </w:r>
      <w:r w:rsidR="008E3C49">
        <w:t>TREINTA Y OCHO MILLONES CUATROCIENTOS SESENTA Y DOS MIL QUINIENTOS CUARENTA Y CUATRO ($38.462.544) IVA INCLUIDO, encontrándose a fs. 1726/1727 los anexos A y B.</w:t>
      </w:r>
    </w:p>
    <w:p w:rsidR="002D2E32" w:rsidRDefault="002D2E32" w:rsidP="006A4F19">
      <w:pPr>
        <w:pStyle w:val="NormalWeb"/>
        <w:shd w:val="clear" w:color="auto" w:fill="FFFFFF"/>
        <w:spacing w:line="276" w:lineRule="auto"/>
        <w:jc w:val="both"/>
      </w:pPr>
      <w:r>
        <w:t>Que a fs. 1732 son remitidas las presentes actuaciones a la Comisión Conjunta de Administración del MP C.A.B.A. a fin de que se expida con relación a la Estructura de Costos  (Anexo A) y Detalle de Estructura de Costos de Mano de Obra (Anexo B) de las ofertas presentadas.</w:t>
      </w:r>
    </w:p>
    <w:p w:rsidR="002D2E32" w:rsidRDefault="002D2E32" w:rsidP="006A4F19">
      <w:pPr>
        <w:pStyle w:val="NormalWeb"/>
        <w:shd w:val="clear" w:color="auto" w:fill="FFFFFF"/>
        <w:spacing w:line="276" w:lineRule="auto"/>
        <w:jc w:val="both"/>
        <w:rPr>
          <w:i/>
        </w:rPr>
      </w:pPr>
      <w:r>
        <w:t xml:space="preserve">Que del Informe Técnico UCE de fs. 1736, el área referida en el párrafo anterior hace saber que </w:t>
      </w:r>
      <w:r>
        <w:rPr>
          <w:i/>
        </w:rPr>
        <w:t xml:space="preserve">“Los Anexos B presentados por las firmas LA MANTOVANA DE SERVICIOS GENERALES S.A.; SULIMP S.A. e IMANTEC S.R.L., concuerdan con los porcentajes declarados respecto de los costos de mano </w:t>
      </w:r>
      <w:r w:rsidR="0030439B">
        <w:rPr>
          <w:i/>
        </w:rPr>
        <w:t xml:space="preserve">de obra en los respectivos Anexos A, aplicados a los montos cotizados por cada una de ellas. El Anexo B acompañado por por la empresa LIMPIOLUX S.A., no guarda relación con el porcentaje declarado respecto de los costos de mano de obra en el Anexo A aplicando al monto total cotizado. Por ello, en caso de corresponder y que la Comisión Evaluadora de Ofertas interviniente lo estimase conveniente, se recomienda a la empresa LIMPIOLUX S.A. una aclaración respecto del cálculo </w:t>
      </w:r>
      <w:r w:rsidR="003F773A">
        <w:rPr>
          <w:i/>
        </w:rPr>
        <w:t>realizado</w:t>
      </w:r>
      <w:r w:rsidR="0030439B">
        <w:rPr>
          <w:i/>
        </w:rPr>
        <w:t>”.</w:t>
      </w:r>
    </w:p>
    <w:p w:rsidR="00D974E9" w:rsidRDefault="0030439B" w:rsidP="006A4F19">
      <w:pPr>
        <w:pStyle w:val="NormalWeb"/>
        <w:shd w:val="clear" w:color="auto" w:fill="FFFFFF"/>
        <w:spacing w:line="276" w:lineRule="auto"/>
        <w:jc w:val="both"/>
      </w:pPr>
      <w:r>
        <w:t>Que</w:t>
      </w:r>
      <w:r w:rsidR="00D974E9">
        <w:t xml:space="preserve"> a fs. 1470 </w:t>
      </w:r>
      <w:r>
        <w:t xml:space="preserve">se cursó correo electrónico a la empresa LIMPIOLUX S.A. solicitando </w:t>
      </w:r>
      <w:r w:rsidR="00D974E9">
        <w:t xml:space="preserve">la </w:t>
      </w:r>
      <w:r>
        <w:t>aclaración</w:t>
      </w:r>
      <w:r w:rsidR="00D974E9">
        <w:t xml:space="preserve"> mencionada</w:t>
      </w:r>
      <w:r>
        <w:t>, siendo n</w:t>
      </w:r>
      <w:r w:rsidR="00926251">
        <w:t>otificad</w:t>
      </w:r>
      <w:r w:rsidR="00D974E9">
        <w:t>a</w:t>
      </w:r>
      <w:r w:rsidR="00926251">
        <w:t xml:space="preserve"> a fs. </w:t>
      </w:r>
      <w:r w:rsidR="00D974E9">
        <w:t xml:space="preserve">1741/1742, y </w:t>
      </w:r>
      <w:r w:rsidR="00926251">
        <w:t>no habiendo formulado aclaración alguna</w:t>
      </w:r>
      <w:r w:rsidR="00A86509">
        <w:t>.</w:t>
      </w:r>
    </w:p>
    <w:p w:rsidR="0030439B" w:rsidRDefault="00D974E9" w:rsidP="00D974E9">
      <w:pPr>
        <w:pStyle w:val="NormalWeb"/>
        <w:shd w:val="clear" w:color="auto" w:fill="FFFFFF"/>
        <w:spacing w:line="276" w:lineRule="auto"/>
        <w:jc w:val="both"/>
      </w:pPr>
      <w:r>
        <w:t xml:space="preserve">Que se </w:t>
      </w:r>
      <w:r w:rsidR="00926251">
        <w:t>remiti</w:t>
      </w:r>
      <w:r>
        <w:t>eron</w:t>
      </w:r>
      <w:r w:rsidR="00926251">
        <w:t xml:space="preserve"> las actuaciones a la Comisión Conjunta de Administración del MP C.A.B.A. quien </w:t>
      </w:r>
      <w:r>
        <w:t>manifiesta lo ya dicho</w:t>
      </w:r>
      <w:r w:rsidR="00926251">
        <w:t xml:space="preserve"> a fs. 1736.</w:t>
      </w:r>
    </w:p>
    <w:p w:rsidR="009E40E8" w:rsidRDefault="003F773A" w:rsidP="00D974E9">
      <w:pPr>
        <w:pStyle w:val="NormalWeb"/>
        <w:shd w:val="clear" w:color="auto" w:fill="FFFFFF"/>
        <w:spacing w:line="276" w:lineRule="auto"/>
        <w:jc w:val="both"/>
      </w:pPr>
      <w:r>
        <w:t>Que a fs. 1764/1770 se encuentra la Actuación N° 21068/15 del Secretario de Coordinación del Ministerio Público Fiscal con el objeto de comunicar que cuentan con los fondos para la presente licitación.</w:t>
      </w:r>
    </w:p>
    <w:p w:rsidR="00D974E9" w:rsidRDefault="00D974E9" w:rsidP="006A4F19">
      <w:pPr>
        <w:pStyle w:val="NormalWeb"/>
        <w:shd w:val="clear" w:color="auto" w:fill="FFFFFF"/>
        <w:spacing w:line="276" w:lineRule="auto"/>
        <w:jc w:val="both"/>
      </w:pPr>
      <w:r>
        <w:t xml:space="preserve">Que en razón de lo expuesto y la incongruencia advertida por la Comisión Conjunta de Administración del MP C.A.B.A. en su Informe Técnico de fs. 1736, en cuanto a que el </w:t>
      </w:r>
      <w:r>
        <w:lastRenderedPageBreak/>
        <w:t>Anexo B no guarda relación con el porcentaje declarado de los costos de mano de obra en el Anexo A, corresponde declarar INADMISIBLE la oferta de LIMPIOLUX S.A.</w:t>
      </w:r>
    </w:p>
    <w:p w:rsidR="00D974E9" w:rsidRPr="0030439B" w:rsidRDefault="00D974E9" w:rsidP="006A4F19">
      <w:pPr>
        <w:pStyle w:val="NormalWeb"/>
        <w:shd w:val="clear" w:color="auto" w:fill="FFFFFF"/>
        <w:spacing w:line="276" w:lineRule="auto"/>
        <w:jc w:val="both"/>
      </w:pPr>
      <w:r>
        <w:t>Que no obstante el cuadro y cotización referida que se acompaña más adelante, cabe mencionar que las ofertas de LIMPIOLUX S.A. excede aproximadamente en un 33,756% el presupuesto oficial y la de SULIMP S.A. excede aproximadamente en un 26,323% el presupuesto oficial.</w:t>
      </w:r>
    </w:p>
    <w:p w:rsidR="007354D7" w:rsidRDefault="007354D7" w:rsidP="006A4F19">
      <w:pPr>
        <w:pStyle w:val="NormalWeb"/>
        <w:shd w:val="clear" w:color="auto" w:fill="FFFFFF"/>
        <w:spacing w:line="276" w:lineRule="auto"/>
        <w:jc w:val="both"/>
      </w:pPr>
      <w:r>
        <w:t xml:space="preserve">Que conforme lo dispuesto en el </w:t>
      </w:r>
      <w:r w:rsidR="006778A7">
        <w:t>punto 18 del Pliego de Condiciones Particulares, se procede hacer el análisis económico de las ofertas:</w:t>
      </w:r>
    </w:p>
    <w:p w:rsidR="00DB48DF" w:rsidRDefault="00DB48DF" w:rsidP="006A4F19">
      <w:pPr>
        <w:pStyle w:val="NormalWeb"/>
        <w:shd w:val="clear" w:color="auto" w:fill="FFFFFF"/>
        <w:spacing w:line="276" w:lineRule="auto"/>
        <w:jc w:val="both"/>
      </w:pPr>
      <w:r>
        <w:t>1° Menor Cotización Ofertada 15 Puntos: INMANTEC S.R.L.</w:t>
      </w:r>
    </w:p>
    <w:p w:rsidR="00DB48DF" w:rsidRDefault="00A86509" w:rsidP="006A4F19">
      <w:pPr>
        <w:pStyle w:val="NormalWeb"/>
        <w:shd w:val="clear" w:color="auto" w:fill="FFFFFF"/>
        <w:spacing w:line="276" w:lineRule="auto"/>
        <w:jc w:val="both"/>
      </w:pPr>
      <w:r>
        <w:t xml:space="preserve">2° </w:t>
      </w:r>
      <w:r w:rsidR="00DB48DF">
        <w:t>Cotización Ofertada 13 Puntos: LA MANTOVANA</w:t>
      </w:r>
      <w:r w:rsidR="003C46C4">
        <w:t xml:space="preserve"> DE</w:t>
      </w:r>
      <w:r w:rsidR="00DB48DF">
        <w:t xml:space="preserve"> SERVICIOS GENERALES S.A.</w:t>
      </w:r>
    </w:p>
    <w:p w:rsidR="003C46C4" w:rsidRDefault="00A86509" w:rsidP="006A4F19">
      <w:pPr>
        <w:pStyle w:val="NormalWeb"/>
        <w:shd w:val="clear" w:color="auto" w:fill="FFFFFF"/>
        <w:spacing w:line="276" w:lineRule="auto"/>
        <w:jc w:val="both"/>
      </w:pPr>
      <w:r>
        <w:t xml:space="preserve">3° </w:t>
      </w:r>
      <w:r w:rsidR="003C46C4">
        <w:t>Cotización Ofertada 11 Puntos: SULIMP S.A.</w:t>
      </w:r>
    </w:p>
    <w:tbl>
      <w:tblPr>
        <w:tblW w:w="60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560"/>
        <w:gridCol w:w="1209"/>
        <w:gridCol w:w="1209"/>
      </w:tblGrid>
      <w:tr w:rsidR="00D974E9" w:rsidRPr="00320337" w:rsidTr="00D974E9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E9" w:rsidRPr="00320337" w:rsidRDefault="00D974E9" w:rsidP="00935596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20337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E9" w:rsidRPr="00320337" w:rsidRDefault="00D974E9" w:rsidP="00D974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20337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La Mantovana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de Serv. Grales S.A.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E9" w:rsidRPr="00320337" w:rsidRDefault="00D974E9" w:rsidP="00D974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Inmantec S.R.L.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E9" w:rsidRPr="00320337" w:rsidRDefault="00D974E9" w:rsidP="00D974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Sulimp S.A.</w:t>
            </w:r>
          </w:p>
        </w:tc>
      </w:tr>
      <w:tr w:rsidR="00D974E9" w:rsidRPr="00320337" w:rsidTr="00D974E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E9" w:rsidRPr="00320337" w:rsidRDefault="00D974E9" w:rsidP="00935596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Oferta Económica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E9" w:rsidRPr="00320337" w:rsidRDefault="00D974E9" w:rsidP="00DB48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E9" w:rsidRPr="00320337" w:rsidRDefault="00D974E9" w:rsidP="00D974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E9" w:rsidRPr="00320337" w:rsidRDefault="00D974E9" w:rsidP="00935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15</w:t>
            </w:r>
          </w:p>
        </w:tc>
      </w:tr>
    </w:tbl>
    <w:p w:rsidR="00D974E9" w:rsidRDefault="00D974E9" w:rsidP="006A4F19">
      <w:pPr>
        <w:pStyle w:val="Textoindependiente"/>
        <w:spacing w:line="276" w:lineRule="auto"/>
        <w:rPr>
          <w:b/>
          <w:szCs w:val="24"/>
          <w:u w:val="single"/>
        </w:rPr>
      </w:pPr>
    </w:p>
    <w:p w:rsidR="00B91E79" w:rsidRDefault="00B91E79" w:rsidP="00B91E79">
      <w:pPr>
        <w:pStyle w:val="Textoindependiente"/>
        <w:spacing w:line="276" w:lineRule="auto"/>
        <w:jc w:val="center"/>
        <w:rPr>
          <w:b/>
          <w:szCs w:val="24"/>
          <w:u w:val="single"/>
        </w:rPr>
      </w:pPr>
    </w:p>
    <w:p w:rsidR="00F44B4E" w:rsidRPr="006A4F19" w:rsidRDefault="00F44B4E" w:rsidP="00B91E79">
      <w:pPr>
        <w:pStyle w:val="Textoindependiente"/>
        <w:spacing w:line="276" w:lineRule="auto"/>
        <w:jc w:val="center"/>
        <w:rPr>
          <w:bCs/>
          <w:szCs w:val="24"/>
        </w:rPr>
      </w:pPr>
      <w:r w:rsidRPr="006A4F19">
        <w:rPr>
          <w:b/>
          <w:szCs w:val="24"/>
          <w:u w:val="single"/>
        </w:rPr>
        <w:t>CONCLUSION</w:t>
      </w:r>
    </w:p>
    <w:p w:rsidR="00F44B4E" w:rsidRDefault="00F44B4E" w:rsidP="006A4F19">
      <w:pPr>
        <w:pStyle w:val="Textoindependiente"/>
        <w:spacing w:line="276" w:lineRule="auto"/>
        <w:rPr>
          <w:szCs w:val="24"/>
          <w:lang w:val="es-AR"/>
        </w:rPr>
      </w:pPr>
    </w:p>
    <w:p w:rsidR="00B91E79" w:rsidRPr="006A4F19" w:rsidRDefault="00B91E79" w:rsidP="006A4F19">
      <w:pPr>
        <w:pStyle w:val="Textoindependiente"/>
        <w:spacing w:line="276" w:lineRule="auto"/>
        <w:rPr>
          <w:szCs w:val="24"/>
          <w:lang w:val="es-AR"/>
        </w:rPr>
      </w:pPr>
    </w:p>
    <w:p w:rsidR="00320337" w:rsidRDefault="00F44B4E" w:rsidP="00006DAB">
      <w:pPr>
        <w:pStyle w:val="Textoindependiente"/>
        <w:spacing w:line="276" w:lineRule="auto"/>
        <w:rPr>
          <w:szCs w:val="24"/>
          <w:lang w:val="es-AR"/>
        </w:rPr>
      </w:pPr>
      <w:r w:rsidRPr="006A4F19">
        <w:rPr>
          <w:szCs w:val="24"/>
          <w:lang w:val="es-AR"/>
        </w:rPr>
        <w:t>Del análisis practicado sobre la documentación aportada por los in</w:t>
      </w:r>
      <w:r w:rsidR="00006DAB">
        <w:rPr>
          <w:szCs w:val="24"/>
          <w:lang w:val="es-AR"/>
        </w:rPr>
        <w:t>teresados en participar de esta</w:t>
      </w:r>
      <w:r w:rsidRPr="006A4F19">
        <w:rPr>
          <w:szCs w:val="24"/>
        </w:rPr>
        <w:t xml:space="preserve"> </w:t>
      </w:r>
      <w:r w:rsidR="00006DAB" w:rsidRPr="006A4F19">
        <w:t xml:space="preserve">Licitación Pública N° 22/2014 de etapa múltiple bajo la modalidad de compra unificada, en los términos de la Ley 2095 y su reglamentación aprobada por Res. CM N° 1/2014, para la contratación del servicio de limpieza integral de las dependencias del Ministerio Público de esta Ciudad, con un presupuesto oficial de Pesos Cuarenta y Seis Millones Doscientos Cincuenta y Dos Mil Ochocientos ($46.252.800), IVA incluido, por un plazo de 24 meses, </w:t>
      </w:r>
      <w:r w:rsidR="00006DAB">
        <w:rPr>
          <w:szCs w:val="24"/>
          <w:lang w:val="es-AR"/>
        </w:rPr>
        <w:t>resulta que la</w:t>
      </w:r>
      <w:r w:rsidR="00D974E9">
        <w:rPr>
          <w:szCs w:val="24"/>
          <w:lang w:val="es-AR"/>
        </w:rPr>
        <w:t xml:space="preserve"> oferta de LIMPIOLUX S.A. es </w:t>
      </w:r>
      <w:r w:rsidR="00D974E9" w:rsidRPr="00D974E9">
        <w:rPr>
          <w:szCs w:val="24"/>
          <w:u w:val="single"/>
          <w:lang w:val="es-AR"/>
        </w:rPr>
        <w:t>INADMISIBLE</w:t>
      </w:r>
      <w:r w:rsidR="00D974E9">
        <w:rPr>
          <w:szCs w:val="24"/>
          <w:u w:val="single"/>
          <w:lang w:val="es-AR"/>
        </w:rPr>
        <w:t>,</w:t>
      </w:r>
      <w:r w:rsidR="00D974E9">
        <w:rPr>
          <w:szCs w:val="24"/>
          <w:lang w:val="es-AR"/>
        </w:rPr>
        <w:t xml:space="preserve"> </w:t>
      </w:r>
      <w:r w:rsidR="00502FAB">
        <w:rPr>
          <w:szCs w:val="24"/>
          <w:lang w:val="es-AR"/>
        </w:rPr>
        <w:t xml:space="preserve">mientras que </w:t>
      </w:r>
      <w:r w:rsidR="00D974E9">
        <w:rPr>
          <w:szCs w:val="24"/>
          <w:lang w:val="es-AR"/>
        </w:rPr>
        <w:t>la</w:t>
      </w:r>
      <w:r w:rsidR="00006DAB">
        <w:rPr>
          <w:szCs w:val="24"/>
          <w:lang w:val="es-AR"/>
        </w:rPr>
        <w:t>s ofertas de LA MANTONVANA DE SERVICIOS GENERALES S.A.,</w:t>
      </w:r>
      <w:r w:rsidR="00D974E9">
        <w:rPr>
          <w:szCs w:val="24"/>
          <w:lang w:val="es-AR"/>
        </w:rPr>
        <w:t xml:space="preserve"> </w:t>
      </w:r>
      <w:r w:rsidR="00006DAB">
        <w:rPr>
          <w:szCs w:val="24"/>
          <w:lang w:val="es-AR"/>
        </w:rPr>
        <w:t xml:space="preserve">SULIMP S.A. E INMANTEC S.R.L. </w:t>
      </w:r>
      <w:r w:rsidR="00502FAB">
        <w:rPr>
          <w:szCs w:val="24"/>
          <w:lang w:val="es-AR"/>
        </w:rPr>
        <w:t xml:space="preserve">resultan </w:t>
      </w:r>
      <w:r w:rsidR="00006DAB" w:rsidRPr="00D5079C">
        <w:rPr>
          <w:szCs w:val="24"/>
          <w:u w:val="single"/>
          <w:lang w:val="es-AR"/>
        </w:rPr>
        <w:t>ADMISIBLES</w:t>
      </w:r>
      <w:r w:rsidR="00D5079C">
        <w:rPr>
          <w:szCs w:val="24"/>
          <w:lang w:val="es-AR"/>
        </w:rPr>
        <w:t xml:space="preserve"> </w:t>
      </w:r>
      <w:r w:rsidR="00006DAB" w:rsidRPr="00D5079C">
        <w:rPr>
          <w:szCs w:val="24"/>
          <w:lang w:val="es-AR"/>
        </w:rPr>
        <w:t>para</w:t>
      </w:r>
      <w:r w:rsidR="00006DAB">
        <w:rPr>
          <w:szCs w:val="24"/>
          <w:lang w:val="es-AR"/>
        </w:rPr>
        <w:t xml:space="preserve"> la presente licitación, </w:t>
      </w:r>
      <w:r w:rsidR="002A3EF3">
        <w:rPr>
          <w:szCs w:val="24"/>
          <w:lang w:val="es-AR"/>
        </w:rPr>
        <w:t xml:space="preserve">siendo las oferta de SULIMP S.A. </w:t>
      </w:r>
      <w:r w:rsidR="00D5079C" w:rsidRPr="00D5079C">
        <w:rPr>
          <w:szCs w:val="24"/>
          <w:u w:val="single"/>
          <w:lang w:val="es-AR"/>
        </w:rPr>
        <w:t>INCONVENIENTE</w:t>
      </w:r>
      <w:r w:rsidR="00D5079C">
        <w:rPr>
          <w:szCs w:val="24"/>
          <w:lang w:val="es-AR"/>
        </w:rPr>
        <w:t xml:space="preserve"> </w:t>
      </w:r>
      <w:r w:rsidR="002A3EF3">
        <w:rPr>
          <w:szCs w:val="24"/>
          <w:lang w:val="es-AR"/>
        </w:rPr>
        <w:t xml:space="preserve">por exceder en más de un 20% el monto oficial presupuestado. </w:t>
      </w:r>
    </w:p>
    <w:p w:rsidR="00320337" w:rsidRDefault="00320337" w:rsidP="00006DAB">
      <w:pPr>
        <w:pStyle w:val="Textoindependiente"/>
        <w:spacing w:line="276" w:lineRule="auto"/>
        <w:rPr>
          <w:szCs w:val="24"/>
          <w:lang w:val="es-AR"/>
        </w:rPr>
      </w:pPr>
    </w:p>
    <w:p w:rsidR="00B91E79" w:rsidRPr="006A4F19" w:rsidRDefault="00B91E79" w:rsidP="00006DAB">
      <w:pPr>
        <w:pStyle w:val="Textoindependiente"/>
        <w:spacing w:line="276" w:lineRule="auto"/>
        <w:rPr>
          <w:szCs w:val="24"/>
          <w:lang w:val="es-AR"/>
        </w:rPr>
      </w:pPr>
    </w:p>
    <w:p w:rsidR="00D513EF" w:rsidRDefault="00D5079C" w:rsidP="006A4F19">
      <w:pPr>
        <w:pStyle w:val="Textoindependiente"/>
        <w:spacing w:line="276" w:lineRule="auto"/>
        <w:rPr>
          <w:szCs w:val="24"/>
          <w:lang w:val="es-AR"/>
        </w:rPr>
      </w:pPr>
      <w:r>
        <w:rPr>
          <w:szCs w:val="24"/>
          <w:lang w:val="es-AR"/>
        </w:rPr>
        <w:lastRenderedPageBreak/>
        <w:t>Que se procede a realizar el cuadro definitivo de puntuación de la presente Licitación:</w:t>
      </w:r>
    </w:p>
    <w:p w:rsidR="00502FAB" w:rsidRPr="006A4F19" w:rsidRDefault="00502FAB" w:rsidP="006A4F19">
      <w:pPr>
        <w:pStyle w:val="Textoindependiente"/>
        <w:spacing w:line="276" w:lineRule="auto"/>
        <w:rPr>
          <w:szCs w:val="24"/>
          <w:lang w:val="es-AR"/>
        </w:rPr>
      </w:pPr>
    </w:p>
    <w:tbl>
      <w:tblPr>
        <w:tblW w:w="59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397"/>
        <w:gridCol w:w="374"/>
        <w:gridCol w:w="659"/>
        <w:gridCol w:w="1276"/>
      </w:tblGrid>
      <w:tr w:rsidR="00502FAB" w:rsidRPr="00D5079C" w:rsidTr="00502FA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 w:rsidRPr="00D5079C">
              <w:rPr>
                <w:lang w:val="es-AR"/>
              </w:rPr>
              <w:t>La Mantovana</w:t>
            </w:r>
            <w:r>
              <w:rPr>
                <w:lang w:val="es-AR"/>
              </w:rPr>
              <w:t xml:space="preserve"> De Serv. Grales S.A.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 w:rsidRPr="00D5079C">
              <w:rPr>
                <w:lang w:val="es-AR"/>
              </w:rPr>
              <w:t>Inmantec</w:t>
            </w:r>
            <w:r>
              <w:rPr>
                <w:lang w:val="es-AR"/>
              </w:rPr>
              <w:t xml:space="preserve"> SRL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 w:rsidRPr="00D5079C">
              <w:rPr>
                <w:lang w:val="es-AR"/>
              </w:rPr>
              <w:t>Sulimp</w:t>
            </w:r>
            <w:r>
              <w:rPr>
                <w:lang w:val="es-AR"/>
              </w:rPr>
              <w:t xml:space="preserve"> S.A.</w:t>
            </w:r>
          </w:p>
        </w:tc>
      </w:tr>
      <w:tr w:rsidR="00502FAB" w:rsidRPr="00D5079C" w:rsidTr="00502F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Evaluación Técnica Punto 17 PCP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73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48</w:t>
            </w:r>
          </w:p>
        </w:tc>
      </w:tr>
      <w:tr w:rsidR="00502FAB" w:rsidRPr="00D5079C" w:rsidTr="00502F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Evaluación Económica</w:t>
            </w:r>
          </w:p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Punto 18 PCP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13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 w:rsidRPr="00D5079C">
              <w:rPr>
                <w:lang w:val="es-A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 w:rsidRPr="00D5079C">
              <w:rPr>
                <w:lang w:val="es-AR"/>
              </w:rPr>
              <w:t>11</w:t>
            </w:r>
          </w:p>
        </w:tc>
      </w:tr>
      <w:tr w:rsidR="00502FAB" w:rsidRPr="00D5079C" w:rsidTr="00502F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 w:rsidRPr="00D5079C">
              <w:rPr>
                <w:lang w:val="es-AR"/>
              </w:rPr>
              <w:t xml:space="preserve">Oferta </w:t>
            </w:r>
            <w:r>
              <w:rPr>
                <w:lang w:val="es-AR"/>
              </w:rPr>
              <w:t>Admisible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SI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FAB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rPr>
                <w:lang w:val="es-AR"/>
              </w:rPr>
            </w:pPr>
            <w:r>
              <w:rPr>
                <w:lang w:val="es-AR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SI</w:t>
            </w:r>
          </w:p>
        </w:tc>
      </w:tr>
      <w:tr w:rsidR="00502FAB" w:rsidRPr="00D5079C" w:rsidTr="00502F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Oferta Conveniente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SI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FAB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rPr>
                <w:lang w:val="es-AR"/>
              </w:rPr>
            </w:pPr>
            <w:r>
              <w:rPr>
                <w:lang w:val="es-AR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NO</w:t>
            </w:r>
          </w:p>
        </w:tc>
      </w:tr>
      <w:tr w:rsidR="00502FAB" w:rsidRPr="00D5079C" w:rsidTr="00502F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PUNTAJE 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86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FAB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AB" w:rsidRPr="00D5079C" w:rsidRDefault="00502FAB" w:rsidP="002771F9">
            <w:pPr>
              <w:pStyle w:val="Textoindependiente"/>
              <w:spacing w:line="276" w:lineRule="auto"/>
              <w:rPr>
                <w:lang w:val="es-AR"/>
              </w:rPr>
            </w:pPr>
            <w:r>
              <w:rPr>
                <w:lang w:val="es-AR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FAB" w:rsidRPr="00D5079C" w:rsidRDefault="00502FAB" w:rsidP="002771F9">
            <w:pPr>
              <w:pStyle w:val="Textoindependiente"/>
              <w:spacing w:line="276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59</w:t>
            </w:r>
          </w:p>
        </w:tc>
      </w:tr>
    </w:tbl>
    <w:p w:rsidR="00D513EF" w:rsidRPr="006A4F19" w:rsidRDefault="00D513EF" w:rsidP="006A4F19">
      <w:pPr>
        <w:pStyle w:val="Textoindependiente"/>
        <w:spacing w:line="276" w:lineRule="auto"/>
        <w:rPr>
          <w:szCs w:val="24"/>
          <w:lang w:val="es-AR"/>
        </w:rPr>
      </w:pPr>
    </w:p>
    <w:p w:rsidR="008E3C49" w:rsidRDefault="002771F9" w:rsidP="008E3C49">
      <w:pPr>
        <w:pStyle w:val="NormalWeb"/>
        <w:shd w:val="clear" w:color="auto" w:fill="FFFFFF"/>
        <w:spacing w:line="276" w:lineRule="auto"/>
        <w:jc w:val="both"/>
      </w:pPr>
      <w:r>
        <w:rPr>
          <w:lang w:val="es-AR"/>
        </w:rPr>
        <w:t>Que en razón de lo expuesto</w:t>
      </w:r>
      <w:r w:rsidRPr="00F44B4E">
        <w:rPr>
          <w:lang w:val="es-AR"/>
        </w:rPr>
        <w:t xml:space="preserve">, esta </w:t>
      </w:r>
      <w:r>
        <w:rPr>
          <w:lang w:val="es-AR"/>
        </w:rPr>
        <w:t>Unidad de Evaluación de Ofertas</w:t>
      </w:r>
      <w:r w:rsidRPr="00F44B4E">
        <w:rPr>
          <w:lang w:val="es-AR"/>
        </w:rPr>
        <w:t xml:space="preserve"> entiende que corresponde preadjudicar por un total d</w:t>
      </w:r>
      <w:r>
        <w:rPr>
          <w:lang w:val="es-AR"/>
        </w:rPr>
        <w:t xml:space="preserve">e </w:t>
      </w:r>
      <w:r w:rsidR="008E3C49" w:rsidRPr="008E3C49">
        <w:t xml:space="preserve">PESOS CINCUENTA Y CINCO MILLONES CUATROCIENTOS NOVENTA Y SIETE MIL SEISCIENTOS ($55.497.600.-) IVA INCLUIDO, </w:t>
      </w:r>
      <w:r w:rsidR="008E3C49">
        <w:t>los renglones N° 1, 2, 3, 4, 5, 6, 7, 8, 9, 10, 11, 12, 13, 14, 15, 16, 17, 18, 19, 20, 21, 22 y 23, a la empresa LA MANTOVANA DE SERVICIOS GENERALES S.A.</w:t>
      </w:r>
    </w:p>
    <w:p w:rsidR="002771F9" w:rsidRPr="008E3C49" w:rsidRDefault="002771F9" w:rsidP="002771F9">
      <w:pPr>
        <w:pStyle w:val="Textoindependiente"/>
        <w:spacing w:line="276" w:lineRule="auto"/>
      </w:pPr>
    </w:p>
    <w:p w:rsidR="00F44B4E" w:rsidRPr="006A4F19" w:rsidRDefault="00F44B4E" w:rsidP="006A4F19">
      <w:pPr>
        <w:pStyle w:val="Textoindependiente"/>
        <w:spacing w:line="276" w:lineRule="auto"/>
        <w:rPr>
          <w:szCs w:val="24"/>
          <w:lang w:val="es-AR"/>
        </w:rPr>
      </w:pPr>
    </w:p>
    <w:p w:rsidR="00F44B4E" w:rsidRPr="006A4F19" w:rsidRDefault="00F44B4E" w:rsidP="006A4F19">
      <w:pPr>
        <w:pStyle w:val="Textoindependiente"/>
        <w:spacing w:line="276" w:lineRule="auto"/>
        <w:rPr>
          <w:szCs w:val="24"/>
          <w:lang w:val="es-AR"/>
        </w:rPr>
      </w:pPr>
    </w:p>
    <w:p w:rsidR="003D0D1B" w:rsidRPr="006A4F19" w:rsidRDefault="003D0D1B" w:rsidP="006A4F19">
      <w:pPr>
        <w:pStyle w:val="Textoindependiente"/>
        <w:spacing w:line="276" w:lineRule="auto"/>
        <w:rPr>
          <w:szCs w:val="24"/>
          <w:lang w:val="es-AR"/>
        </w:rPr>
      </w:pPr>
    </w:p>
    <w:p w:rsidR="003D0D1B" w:rsidRPr="006A4F19" w:rsidRDefault="003D0D1B" w:rsidP="006A4F19">
      <w:pPr>
        <w:pStyle w:val="Textoindependiente"/>
        <w:spacing w:line="276" w:lineRule="auto"/>
        <w:rPr>
          <w:szCs w:val="24"/>
          <w:lang w:val="es-AR"/>
        </w:rPr>
      </w:pPr>
    </w:p>
    <w:p w:rsidR="003D0D1B" w:rsidRPr="006A4F19" w:rsidRDefault="003D0D1B" w:rsidP="006A4F19">
      <w:pPr>
        <w:pStyle w:val="Textoindependiente"/>
        <w:spacing w:line="276" w:lineRule="auto"/>
        <w:rPr>
          <w:szCs w:val="24"/>
          <w:lang w:val="es-AR"/>
        </w:rPr>
      </w:pPr>
    </w:p>
    <w:p w:rsidR="003D0D1B" w:rsidRDefault="003D0D1B" w:rsidP="006A4F19">
      <w:pPr>
        <w:pStyle w:val="Textoindependiente"/>
        <w:spacing w:line="276" w:lineRule="auto"/>
        <w:rPr>
          <w:szCs w:val="24"/>
          <w:lang w:val="es-AR"/>
        </w:rPr>
      </w:pPr>
    </w:p>
    <w:p w:rsidR="008E3C49" w:rsidRDefault="008E3C49" w:rsidP="006A4F19">
      <w:pPr>
        <w:pStyle w:val="Textoindependiente"/>
        <w:spacing w:line="276" w:lineRule="auto"/>
        <w:rPr>
          <w:szCs w:val="24"/>
          <w:lang w:val="es-AR"/>
        </w:rPr>
      </w:pPr>
    </w:p>
    <w:p w:rsidR="008E3C49" w:rsidRDefault="008E3C49" w:rsidP="006A4F19">
      <w:pPr>
        <w:pStyle w:val="Textoindependiente"/>
        <w:spacing w:line="276" w:lineRule="auto"/>
        <w:rPr>
          <w:szCs w:val="24"/>
          <w:lang w:val="es-AR"/>
        </w:rPr>
      </w:pPr>
    </w:p>
    <w:p w:rsidR="008E3C49" w:rsidRPr="006A4F19" w:rsidRDefault="008E3C49" w:rsidP="006A4F19">
      <w:pPr>
        <w:pStyle w:val="Textoindependiente"/>
        <w:spacing w:line="276" w:lineRule="auto"/>
        <w:rPr>
          <w:szCs w:val="24"/>
          <w:lang w:val="es-AR"/>
        </w:rPr>
      </w:pPr>
    </w:p>
    <w:p w:rsidR="00F44B4E" w:rsidRPr="006A4F19" w:rsidRDefault="003D0D1B" w:rsidP="006A4F19">
      <w:pPr>
        <w:pStyle w:val="Textoindependiente"/>
        <w:spacing w:line="276" w:lineRule="auto"/>
        <w:rPr>
          <w:szCs w:val="24"/>
          <w:lang w:val="es-AR"/>
        </w:rPr>
      </w:pPr>
      <w:r w:rsidRPr="006A4F19">
        <w:rPr>
          <w:b/>
          <w:szCs w:val="24"/>
          <w:lang w:val="es-AR"/>
        </w:rPr>
        <w:t>Federico Carballo</w:t>
      </w:r>
      <w:r w:rsidRPr="006A4F19">
        <w:rPr>
          <w:b/>
          <w:szCs w:val="24"/>
          <w:lang w:val="es-AR"/>
        </w:rPr>
        <w:tab/>
      </w:r>
      <w:r w:rsidRPr="006A4F19">
        <w:rPr>
          <w:b/>
          <w:szCs w:val="24"/>
          <w:lang w:val="es-AR"/>
        </w:rPr>
        <w:tab/>
      </w:r>
      <w:r w:rsidRPr="006A4F19">
        <w:rPr>
          <w:b/>
          <w:szCs w:val="24"/>
          <w:lang w:val="es-AR"/>
        </w:rPr>
        <w:tab/>
        <w:t>Federico Gallo</w:t>
      </w:r>
      <w:r w:rsidRPr="006A4F19">
        <w:rPr>
          <w:b/>
          <w:szCs w:val="24"/>
          <w:lang w:val="es-AR"/>
        </w:rPr>
        <w:tab/>
      </w:r>
      <w:r w:rsidRPr="006A4F19">
        <w:rPr>
          <w:b/>
          <w:szCs w:val="24"/>
          <w:lang w:val="es-AR"/>
        </w:rPr>
        <w:tab/>
      </w:r>
      <w:r w:rsidR="00F13845">
        <w:rPr>
          <w:b/>
          <w:szCs w:val="24"/>
          <w:lang w:val="es-AR"/>
        </w:rPr>
        <w:t>JavieraGraziano</w:t>
      </w:r>
    </w:p>
    <w:p w:rsidR="00F44B4E" w:rsidRPr="006A4F19" w:rsidRDefault="00F44B4E" w:rsidP="006A4F19">
      <w:pPr>
        <w:pStyle w:val="Textoindependiente"/>
        <w:spacing w:line="276" w:lineRule="auto"/>
        <w:rPr>
          <w:szCs w:val="24"/>
          <w:lang w:val="es-AR"/>
        </w:rPr>
      </w:pPr>
    </w:p>
    <w:p w:rsidR="00036535" w:rsidRPr="006A4F19" w:rsidRDefault="00036535" w:rsidP="006A4F19">
      <w:pPr>
        <w:pStyle w:val="Textoindependiente"/>
        <w:spacing w:line="276" w:lineRule="auto"/>
        <w:rPr>
          <w:szCs w:val="24"/>
          <w:lang w:val="es-AR"/>
        </w:rPr>
      </w:pPr>
    </w:p>
    <w:p w:rsidR="00983AA4" w:rsidRPr="006A4F19" w:rsidRDefault="00983AA4" w:rsidP="006A4F19">
      <w:pPr>
        <w:spacing w:line="276" w:lineRule="auto"/>
        <w:jc w:val="both"/>
        <w:rPr>
          <w:lang w:val="es-AR"/>
        </w:rPr>
      </w:pPr>
    </w:p>
    <w:sectPr w:rsidR="00983AA4" w:rsidRPr="006A4F19" w:rsidSect="00540C75">
      <w:headerReference w:type="default" r:id="rId9"/>
      <w:footerReference w:type="defaul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4A" w:rsidRDefault="004B134A">
      <w:r>
        <w:separator/>
      </w:r>
    </w:p>
  </w:endnote>
  <w:endnote w:type="continuationSeparator" w:id="0">
    <w:p w:rsidR="004B134A" w:rsidRDefault="004B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42" w:rsidRDefault="004B0E42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81E3C">
      <w:rPr>
        <w:noProof/>
      </w:rPr>
      <w:t>3</w:t>
    </w:r>
    <w:r>
      <w:fldChar w:fldCharType="end"/>
    </w:r>
  </w:p>
  <w:p w:rsidR="004B0E42" w:rsidRDefault="004B0E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4A" w:rsidRDefault="004B134A">
      <w:r>
        <w:separator/>
      </w:r>
    </w:p>
  </w:footnote>
  <w:footnote w:type="continuationSeparator" w:id="0">
    <w:p w:rsidR="004B134A" w:rsidRDefault="004B1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42" w:rsidRDefault="004B0E42" w:rsidP="00476E6B">
    <w:pPr>
      <w:jc w:val="center"/>
    </w:pPr>
    <w: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56.95pt" o:ole="" fillcolor="window">
          <v:imagedata r:id="rId1" o:title=""/>
        </v:shape>
        <o:OLEObject Type="Embed" ProgID="Word.Picture.8" ShapeID="_x0000_i1025" DrawAspect="Content" ObjectID="_1502699616" r:id="rId2"/>
      </w:object>
    </w:r>
  </w:p>
  <w:p w:rsidR="004B0E42" w:rsidRDefault="004B0E42" w:rsidP="00476E6B">
    <w:pPr>
      <w:jc w:val="center"/>
    </w:pPr>
  </w:p>
  <w:p w:rsidR="004B0E42" w:rsidRPr="00215652" w:rsidRDefault="004B0E42" w:rsidP="00476E6B">
    <w:pPr>
      <w:jc w:val="center"/>
      <w:rPr>
        <w:b/>
        <w:i/>
        <w:sz w:val="28"/>
      </w:rPr>
    </w:pPr>
    <w:r>
      <w:rPr>
        <w:b/>
        <w:i/>
        <w:sz w:val="28"/>
      </w:rPr>
      <w:t>Consejo de la Magistratura de la Ciudad Autónoma de Buenos Aires</w:t>
    </w:r>
  </w:p>
  <w:p w:rsidR="004B0E42" w:rsidRDefault="004B0E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3962"/>
    <w:multiLevelType w:val="hybridMultilevel"/>
    <w:tmpl w:val="5B704D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83"/>
    <w:rsid w:val="00006DAB"/>
    <w:rsid w:val="0001469F"/>
    <w:rsid w:val="00034B6A"/>
    <w:rsid w:val="00034BFB"/>
    <w:rsid w:val="00036535"/>
    <w:rsid w:val="000428C6"/>
    <w:rsid w:val="00047783"/>
    <w:rsid w:val="000502C9"/>
    <w:rsid w:val="00061B5C"/>
    <w:rsid w:val="00071948"/>
    <w:rsid w:val="00093A9B"/>
    <w:rsid w:val="00095858"/>
    <w:rsid w:val="00096081"/>
    <w:rsid w:val="000A3998"/>
    <w:rsid w:val="000B3569"/>
    <w:rsid w:val="000C468F"/>
    <w:rsid w:val="000E3773"/>
    <w:rsid w:val="000F14CC"/>
    <w:rsid w:val="000F3915"/>
    <w:rsid w:val="000F7801"/>
    <w:rsid w:val="00101F75"/>
    <w:rsid w:val="00110BF0"/>
    <w:rsid w:val="00113DD5"/>
    <w:rsid w:val="0011674E"/>
    <w:rsid w:val="00127A74"/>
    <w:rsid w:val="00131F0B"/>
    <w:rsid w:val="0013660B"/>
    <w:rsid w:val="00142598"/>
    <w:rsid w:val="00155AC4"/>
    <w:rsid w:val="001601BE"/>
    <w:rsid w:val="00183B5C"/>
    <w:rsid w:val="0018449F"/>
    <w:rsid w:val="001903E8"/>
    <w:rsid w:val="0019050D"/>
    <w:rsid w:val="001C124D"/>
    <w:rsid w:val="001C572C"/>
    <w:rsid w:val="001C6531"/>
    <w:rsid w:val="001D3AB7"/>
    <w:rsid w:val="001D6753"/>
    <w:rsid w:val="001F66FB"/>
    <w:rsid w:val="0021589E"/>
    <w:rsid w:val="00216D98"/>
    <w:rsid w:val="0022148D"/>
    <w:rsid w:val="00221E01"/>
    <w:rsid w:val="00224B1E"/>
    <w:rsid w:val="002508B1"/>
    <w:rsid w:val="002515B1"/>
    <w:rsid w:val="002518DB"/>
    <w:rsid w:val="00253287"/>
    <w:rsid w:val="00264BD5"/>
    <w:rsid w:val="0027047F"/>
    <w:rsid w:val="00273F63"/>
    <w:rsid w:val="00275577"/>
    <w:rsid w:val="00276F9C"/>
    <w:rsid w:val="002771F9"/>
    <w:rsid w:val="002826DC"/>
    <w:rsid w:val="002A3EF3"/>
    <w:rsid w:val="002C0B64"/>
    <w:rsid w:val="002D0258"/>
    <w:rsid w:val="002D2996"/>
    <w:rsid w:val="002D2E32"/>
    <w:rsid w:val="002D527F"/>
    <w:rsid w:val="0030439B"/>
    <w:rsid w:val="0030591E"/>
    <w:rsid w:val="0030731D"/>
    <w:rsid w:val="00320337"/>
    <w:rsid w:val="003379FD"/>
    <w:rsid w:val="00344A15"/>
    <w:rsid w:val="00345818"/>
    <w:rsid w:val="0035611A"/>
    <w:rsid w:val="00363CD0"/>
    <w:rsid w:val="003A34A6"/>
    <w:rsid w:val="003A4E27"/>
    <w:rsid w:val="003C46C4"/>
    <w:rsid w:val="003C4F53"/>
    <w:rsid w:val="003D0A50"/>
    <w:rsid w:val="003D0D1B"/>
    <w:rsid w:val="003E53F9"/>
    <w:rsid w:val="003F3A5C"/>
    <w:rsid w:val="003F773A"/>
    <w:rsid w:val="0040216D"/>
    <w:rsid w:val="00420040"/>
    <w:rsid w:val="00422C71"/>
    <w:rsid w:val="00436BF1"/>
    <w:rsid w:val="00440ACE"/>
    <w:rsid w:val="004512A9"/>
    <w:rsid w:val="00454C6B"/>
    <w:rsid w:val="00470DB8"/>
    <w:rsid w:val="00472868"/>
    <w:rsid w:val="00476E6B"/>
    <w:rsid w:val="00490202"/>
    <w:rsid w:val="004909E3"/>
    <w:rsid w:val="00492DA6"/>
    <w:rsid w:val="004A416D"/>
    <w:rsid w:val="004A43E6"/>
    <w:rsid w:val="004B0E42"/>
    <w:rsid w:val="004B134A"/>
    <w:rsid w:val="004B20A6"/>
    <w:rsid w:val="004D5A1A"/>
    <w:rsid w:val="004F7624"/>
    <w:rsid w:val="00502FAB"/>
    <w:rsid w:val="00505211"/>
    <w:rsid w:val="00510F2F"/>
    <w:rsid w:val="00513B4C"/>
    <w:rsid w:val="0053157D"/>
    <w:rsid w:val="00540C75"/>
    <w:rsid w:val="00544E8A"/>
    <w:rsid w:val="00545946"/>
    <w:rsid w:val="00545FA5"/>
    <w:rsid w:val="005672D3"/>
    <w:rsid w:val="00581D9B"/>
    <w:rsid w:val="005903C6"/>
    <w:rsid w:val="005C0CE3"/>
    <w:rsid w:val="005D3277"/>
    <w:rsid w:val="005D60CF"/>
    <w:rsid w:val="005D63B9"/>
    <w:rsid w:val="005E7B3F"/>
    <w:rsid w:val="005F1211"/>
    <w:rsid w:val="005F76F0"/>
    <w:rsid w:val="006176D4"/>
    <w:rsid w:val="00621235"/>
    <w:rsid w:val="0062336C"/>
    <w:rsid w:val="00635A88"/>
    <w:rsid w:val="00643B94"/>
    <w:rsid w:val="00674121"/>
    <w:rsid w:val="006758D3"/>
    <w:rsid w:val="00675F2C"/>
    <w:rsid w:val="006778A7"/>
    <w:rsid w:val="006A4F19"/>
    <w:rsid w:val="006B2CDE"/>
    <w:rsid w:val="006C7C87"/>
    <w:rsid w:val="006D3A5C"/>
    <w:rsid w:val="006E6F10"/>
    <w:rsid w:val="00712344"/>
    <w:rsid w:val="0071747F"/>
    <w:rsid w:val="00720414"/>
    <w:rsid w:val="00726975"/>
    <w:rsid w:val="007354D7"/>
    <w:rsid w:val="00751590"/>
    <w:rsid w:val="00755685"/>
    <w:rsid w:val="007566E6"/>
    <w:rsid w:val="00756C09"/>
    <w:rsid w:val="0076698F"/>
    <w:rsid w:val="0077055E"/>
    <w:rsid w:val="00777A36"/>
    <w:rsid w:val="00781E3C"/>
    <w:rsid w:val="00785B29"/>
    <w:rsid w:val="00792159"/>
    <w:rsid w:val="00793B5D"/>
    <w:rsid w:val="007A68B8"/>
    <w:rsid w:val="007B7B98"/>
    <w:rsid w:val="007C4170"/>
    <w:rsid w:val="007C76E8"/>
    <w:rsid w:val="007D27ED"/>
    <w:rsid w:val="007E391D"/>
    <w:rsid w:val="007F0214"/>
    <w:rsid w:val="007F20DD"/>
    <w:rsid w:val="007F300E"/>
    <w:rsid w:val="00803B70"/>
    <w:rsid w:val="0082170C"/>
    <w:rsid w:val="0082527E"/>
    <w:rsid w:val="00833C73"/>
    <w:rsid w:val="008436B5"/>
    <w:rsid w:val="008540D2"/>
    <w:rsid w:val="00874B32"/>
    <w:rsid w:val="0087502B"/>
    <w:rsid w:val="00875162"/>
    <w:rsid w:val="00886624"/>
    <w:rsid w:val="00897A63"/>
    <w:rsid w:val="008A0B01"/>
    <w:rsid w:val="008A6BFF"/>
    <w:rsid w:val="008B0371"/>
    <w:rsid w:val="008B2583"/>
    <w:rsid w:val="008C04BB"/>
    <w:rsid w:val="008D6A58"/>
    <w:rsid w:val="008E355C"/>
    <w:rsid w:val="008E3C49"/>
    <w:rsid w:val="008E6D6B"/>
    <w:rsid w:val="008F72F0"/>
    <w:rsid w:val="00904780"/>
    <w:rsid w:val="0091229F"/>
    <w:rsid w:val="00923971"/>
    <w:rsid w:val="00926251"/>
    <w:rsid w:val="0093292D"/>
    <w:rsid w:val="00951B3C"/>
    <w:rsid w:val="00955BBC"/>
    <w:rsid w:val="00956E0C"/>
    <w:rsid w:val="00962DC5"/>
    <w:rsid w:val="0097373B"/>
    <w:rsid w:val="00983AA4"/>
    <w:rsid w:val="00984552"/>
    <w:rsid w:val="009950EF"/>
    <w:rsid w:val="00996CFD"/>
    <w:rsid w:val="0099754E"/>
    <w:rsid w:val="0099792E"/>
    <w:rsid w:val="009A55DD"/>
    <w:rsid w:val="009B5FD5"/>
    <w:rsid w:val="009C1942"/>
    <w:rsid w:val="009E24FB"/>
    <w:rsid w:val="009E40E8"/>
    <w:rsid w:val="009F1760"/>
    <w:rsid w:val="009F2075"/>
    <w:rsid w:val="009F3C7E"/>
    <w:rsid w:val="009F58CE"/>
    <w:rsid w:val="00A02B9A"/>
    <w:rsid w:val="00A10BB8"/>
    <w:rsid w:val="00A10F38"/>
    <w:rsid w:val="00A2114B"/>
    <w:rsid w:val="00A27EED"/>
    <w:rsid w:val="00A32C31"/>
    <w:rsid w:val="00A465E4"/>
    <w:rsid w:val="00A532E6"/>
    <w:rsid w:val="00A56E26"/>
    <w:rsid w:val="00A66CF2"/>
    <w:rsid w:val="00A75E1A"/>
    <w:rsid w:val="00A84337"/>
    <w:rsid w:val="00A86509"/>
    <w:rsid w:val="00A867F1"/>
    <w:rsid w:val="00AA05A3"/>
    <w:rsid w:val="00AC2825"/>
    <w:rsid w:val="00AC62CD"/>
    <w:rsid w:val="00AC748B"/>
    <w:rsid w:val="00AE5619"/>
    <w:rsid w:val="00AE6AA7"/>
    <w:rsid w:val="00AF4F78"/>
    <w:rsid w:val="00B02ECF"/>
    <w:rsid w:val="00B073EC"/>
    <w:rsid w:val="00B077BE"/>
    <w:rsid w:val="00B10AA3"/>
    <w:rsid w:val="00B32098"/>
    <w:rsid w:val="00B37131"/>
    <w:rsid w:val="00B537AA"/>
    <w:rsid w:val="00B606D4"/>
    <w:rsid w:val="00B616C2"/>
    <w:rsid w:val="00B61ED6"/>
    <w:rsid w:val="00B709F0"/>
    <w:rsid w:val="00B8055C"/>
    <w:rsid w:val="00B87818"/>
    <w:rsid w:val="00B90A9C"/>
    <w:rsid w:val="00B91490"/>
    <w:rsid w:val="00B91E79"/>
    <w:rsid w:val="00BA3D91"/>
    <w:rsid w:val="00BC421B"/>
    <w:rsid w:val="00BF42E5"/>
    <w:rsid w:val="00C066E0"/>
    <w:rsid w:val="00C11628"/>
    <w:rsid w:val="00C16340"/>
    <w:rsid w:val="00C26266"/>
    <w:rsid w:val="00C32E2D"/>
    <w:rsid w:val="00C33971"/>
    <w:rsid w:val="00C33C5F"/>
    <w:rsid w:val="00C401AA"/>
    <w:rsid w:val="00C41844"/>
    <w:rsid w:val="00C42D87"/>
    <w:rsid w:val="00C5785A"/>
    <w:rsid w:val="00C633F9"/>
    <w:rsid w:val="00C73F27"/>
    <w:rsid w:val="00C81F35"/>
    <w:rsid w:val="00C85437"/>
    <w:rsid w:val="00C95720"/>
    <w:rsid w:val="00CC6F93"/>
    <w:rsid w:val="00CD15AD"/>
    <w:rsid w:val="00CF21C7"/>
    <w:rsid w:val="00D015F5"/>
    <w:rsid w:val="00D07946"/>
    <w:rsid w:val="00D14ADF"/>
    <w:rsid w:val="00D1769A"/>
    <w:rsid w:val="00D223B8"/>
    <w:rsid w:val="00D46A0A"/>
    <w:rsid w:val="00D505F2"/>
    <w:rsid w:val="00D5079C"/>
    <w:rsid w:val="00D513EF"/>
    <w:rsid w:val="00D91C72"/>
    <w:rsid w:val="00D94008"/>
    <w:rsid w:val="00D957F2"/>
    <w:rsid w:val="00D974E9"/>
    <w:rsid w:val="00D97682"/>
    <w:rsid w:val="00DA50D4"/>
    <w:rsid w:val="00DA61CA"/>
    <w:rsid w:val="00DA7010"/>
    <w:rsid w:val="00DB2558"/>
    <w:rsid w:val="00DB48DF"/>
    <w:rsid w:val="00DB4933"/>
    <w:rsid w:val="00DC0E33"/>
    <w:rsid w:val="00DD2FED"/>
    <w:rsid w:val="00DE4B78"/>
    <w:rsid w:val="00DE53AF"/>
    <w:rsid w:val="00DE7121"/>
    <w:rsid w:val="00E03E21"/>
    <w:rsid w:val="00E0783B"/>
    <w:rsid w:val="00E260D3"/>
    <w:rsid w:val="00E474FA"/>
    <w:rsid w:val="00E86D19"/>
    <w:rsid w:val="00E96796"/>
    <w:rsid w:val="00E967AC"/>
    <w:rsid w:val="00EA50B8"/>
    <w:rsid w:val="00EA7724"/>
    <w:rsid w:val="00EC2341"/>
    <w:rsid w:val="00EC3DDE"/>
    <w:rsid w:val="00EE334B"/>
    <w:rsid w:val="00EE3543"/>
    <w:rsid w:val="00F06DD5"/>
    <w:rsid w:val="00F079BB"/>
    <w:rsid w:val="00F13845"/>
    <w:rsid w:val="00F154D2"/>
    <w:rsid w:val="00F16E39"/>
    <w:rsid w:val="00F26C5E"/>
    <w:rsid w:val="00F30DFF"/>
    <w:rsid w:val="00F33D6E"/>
    <w:rsid w:val="00F44B4E"/>
    <w:rsid w:val="00F47E77"/>
    <w:rsid w:val="00F51074"/>
    <w:rsid w:val="00F52F51"/>
    <w:rsid w:val="00F66BEC"/>
    <w:rsid w:val="00F676C9"/>
    <w:rsid w:val="00F72CDC"/>
    <w:rsid w:val="00F74190"/>
    <w:rsid w:val="00F751DD"/>
    <w:rsid w:val="00FA2D72"/>
    <w:rsid w:val="00FA72C4"/>
    <w:rsid w:val="00FD5821"/>
    <w:rsid w:val="00FE43BC"/>
    <w:rsid w:val="00FF3CFF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47783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47783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47783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47783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477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47783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4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7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76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E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365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3653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D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1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5159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515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515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47783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47783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47783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47783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477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47783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4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7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76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E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365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3653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D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1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5159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515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51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A025-6146-48AE-AA4C-608DC153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fcarballo</dc:creator>
  <cp:lastModifiedBy>pbelluscio</cp:lastModifiedBy>
  <cp:revision>2</cp:revision>
  <cp:lastPrinted>2015-08-31T16:34:00Z</cp:lastPrinted>
  <dcterms:created xsi:type="dcterms:W3CDTF">2015-09-02T14:47:00Z</dcterms:created>
  <dcterms:modified xsi:type="dcterms:W3CDTF">2015-09-02T14:47:00Z</dcterms:modified>
</cp:coreProperties>
</file>